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charts/chart4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F34" w:rsidRPr="00FB7B34" w:rsidRDefault="000404E3" w:rsidP="00724F34">
      <w:pPr>
        <w:jc w:val="left"/>
        <w:rPr>
          <w:b w:val="0"/>
          <w:bCs/>
          <w:color w:val="000000"/>
          <w:sz w:val="44"/>
          <w:szCs w:val="44"/>
        </w:rPr>
      </w:pPr>
      <w:r>
        <w:rPr>
          <w:rFonts w:hint="eastAsia"/>
          <w:b w:val="0"/>
          <w:bCs/>
          <w:noProof/>
          <w:color w:val="000000"/>
          <w:sz w:val="44"/>
          <w:szCs w:val="44"/>
        </w:rPr>
        <w:drawing>
          <wp:inline distT="0" distB="0" distL="0" distR="0">
            <wp:extent cx="3171825" cy="590550"/>
            <wp:effectExtent l="19050" t="0" r="9525" b="0"/>
            <wp:docPr id="1" name="图片 1" descr="标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标志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1825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4F34" w:rsidRPr="00FB7B34" w:rsidRDefault="00724F34" w:rsidP="00724F34">
      <w:pPr>
        <w:jc w:val="center"/>
        <w:rPr>
          <w:b w:val="0"/>
          <w:bCs/>
          <w:color w:val="000000"/>
          <w:sz w:val="44"/>
          <w:szCs w:val="44"/>
        </w:rPr>
      </w:pPr>
    </w:p>
    <w:p w:rsidR="00724F34" w:rsidRDefault="00724F34" w:rsidP="00724F34">
      <w:pPr>
        <w:jc w:val="center"/>
        <w:rPr>
          <w:b w:val="0"/>
          <w:bCs/>
          <w:color w:val="000000"/>
          <w:sz w:val="44"/>
          <w:szCs w:val="44"/>
        </w:rPr>
      </w:pPr>
    </w:p>
    <w:p w:rsidR="00955A90" w:rsidRPr="00FB7B34" w:rsidRDefault="00955A90" w:rsidP="00724F34">
      <w:pPr>
        <w:jc w:val="center"/>
        <w:rPr>
          <w:b w:val="0"/>
          <w:bCs/>
          <w:color w:val="000000"/>
          <w:sz w:val="44"/>
          <w:szCs w:val="44"/>
        </w:rPr>
      </w:pPr>
    </w:p>
    <w:p w:rsidR="00724F34" w:rsidRDefault="00724F34" w:rsidP="00724F34">
      <w:pPr>
        <w:jc w:val="center"/>
        <w:rPr>
          <w:b w:val="0"/>
          <w:bCs/>
          <w:color w:val="000000"/>
          <w:sz w:val="44"/>
          <w:szCs w:val="44"/>
        </w:rPr>
      </w:pPr>
    </w:p>
    <w:p w:rsidR="00F1163E" w:rsidRPr="00C50352" w:rsidRDefault="00976F1E" w:rsidP="00955A90">
      <w:pPr>
        <w:spacing w:line="800" w:lineRule="exact"/>
        <w:jc w:val="center"/>
        <w:rPr>
          <w:rFonts w:ascii="楷体" w:eastAsia="楷体" w:hAnsi="楷体"/>
          <w:bCs/>
          <w:color w:val="000000"/>
          <w:sz w:val="48"/>
          <w:szCs w:val="48"/>
        </w:rPr>
      </w:pPr>
      <w:r w:rsidRPr="00C50352">
        <w:rPr>
          <w:rFonts w:ascii="楷体" w:eastAsia="楷体" w:hAnsi="楷体" w:hint="eastAsia"/>
          <w:bCs/>
          <w:color w:val="000000"/>
          <w:sz w:val="48"/>
          <w:szCs w:val="48"/>
        </w:rPr>
        <w:t>以服务为宗旨，以规范为根本</w:t>
      </w:r>
    </w:p>
    <w:p w:rsidR="00955A90" w:rsidRPr="00C50352" w:rsidRDefault="00955A90" w:rsidP="00955A90">
      <w:pPr>
        <w:spacing w:line="800" w:lineRule="exact"/>
        <w:jc w:val="center"/>
        <w:rPr>
          <w:rFonts w:ascii="楷体" w:eastAsia="楷体" w:hAnsi="楷体"/>
          <w:bCs/>
          <w:color w:val="000000"/>
          <w:sz w:val="48"/>
          <w:szCs w:val="48"/>
        </w:rPr>
      </w:pPr>
      <w:r w:rsidRPr="00C50352">
        <w:rPr>
          <w:rFonts w:ascii="楷体" w:eastAsia="楷体" w:hAnsi="楷体" w:hint="eastAsia"/>
          <w:bCs/>
          <w:color w:val="000000"/>
          <w:sz w:val="48"/>
          <w:szCs w:val="48"/>
        </w:rPr>
        <w:t>全力做好毕业生就业工作</w:t>
      </w:r>
    </w:p>
    <w:p w:rsidR="00955A90" w:rsidRDefault="00955A90" w:rsidP="00724F34">
      <w:pPr>
        <w:jc w:val="center"/>
        <w:rPr>
          <w:rFonts w:ascii="宋体" w:hAnsi="宋体"/>
          <w:b w:val="0"/>
          <w:bCs/>
          <w:color w:val="000000"/>
          <w:sz w:val="44"/>
          <w:szCs w:val="44"/>
        </w:rPr>
      </w:pPr>
    </w:p>
    <w:p w:rsidR="00724F34" w:rsidRPr="00955A90" w:rsidRDefault="00955A90" w:rsidP="00724F34">
      <w:pPr>
        <w:jc w:val="center"/>
        <w:rPr>
          <w:rFonts w:ascii="宋体" w:hAnsi="宋体"/>
          <w:color w:val="000000"/>
          <w:sz w:val="44"/>
          <w:szCs w:val="44"/>
        </w:rPr>
      </w:pPr>
      <w:r>
        <w:rPr>
          <w:rFonts w:ascii="宋体" w:hAnsi="宋体" w:hint="eastAsia"/>
          <w:b w:val="0"/>
          <w:bCs/>
          <w:color w:val="000000"/>
          <w:sz w:val="44"/>
          <w:szCs w:val="44"/>
        </w:rPr>
        <w:t>——</w:t>
      </w:r>
      <w:r w:rsidR="005279A2" w:rsidRPr="00955A90">
        <w:rPr>
          <w:rFonts w:ascii="宋体" w:hAnsi="宋体" w:hint="eastAsia"/>
          <w:b w:val="0"/>
          <w:bCs/>
          <w:color w:val="000000"/>
          <w:sz w:val="44"/>
          <w:szCs w:val="44"/>
        </w:rPr>
        <w:t>201</w:t>
      </w:r>
      <w:r w:rsidR="00B00E56">
        <w:rPr>
          <w:rFonts w:ascii="宋体" w:hAnsi="宋体" w:hint="eastAsia"/>
          <w:b w:val="0"/>
          <w:bCs/>
          <w:color w:val="000000"/>
          <w:sz w:val="44"/>
          <w:szCs w:val="44"/>
        </w:rPr>
        <w:t>7</w:t>
      </w:r>
      <w:r w:rsidR="005279A2" w:rsidRPr="00955A90">
        <w:rPr>
          <w:rFonts w:ascii="宋体" w:hAnsi="宋体" w:hint="eastAsia"/>
          <w:b w:val="0"/>
          <w:bCs/>
          <w:color w:val="000000"/>
          <w:sz w:val="44"/>
          <w:szCs w:val="44"/>
        </w:rPr>
        <w:t>届毕业生就业工作总结</w:t>
      </w:r>
    </w:p>
    <w:p w:rsidR="00F1163E" w:rsidRPr="00FB7B34" w:rsidRDefault="00F1163E" w:rsidP="00724F34">
      <w:pPr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724F34" w:rsidRPr="00FB7B34" w:rsidRDefault="00724F34" w:rsidP="00724F34">
      <w:pPr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724F34" w:rsidRPr="00FB7B34" w:rsidRDefault="00724F34" w:rsidP="00724F34">
      <w:pPr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724F34" w:rsidRPr="00FB7B34" w:rsidRDefault="00724F34" w:rsidP="00724F34">
      <w:pPr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724F34" w:rsidRPr="0002139C" w:rsidRDefault="00724F34" w:rsidP="00724F34">
      <w:pPr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724F34" w:rsidRPr="00FB7B34" w:rsidRDefault="00724F34" w:rsidP="00724F34">
      <w:pPr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724F34" w:rsidRDefault="00724F34" w:rsidP="00955A90">
      <w:pPr>
        <w:rPr>
          <w:rFonts w:ascii="Times New Roman" w:hAnsi="Times New Roman"/>
          <w:color w:val="000000"/>
          <w:sz w:val="44"/>
          <w:szCs w:val="44"/>
        </w:rPr>
      </w:pPr>
    </w:p>
    <w:p w:rsidR="00955A90" w:rsidRDefault="00955A90" w:rsidP="00955A90">
      <w:pPr>
        <w:rPr>
          <w:rFonts w:ascii="Times New Roman" w:hAnsi="Times New Roman"/>
          <w:color w:val="000000"/>
          <w:sz w:val="44"/>
          <w:szCs w:val="44"/>
        </w:rPr>
      </w:pPr>
    </w:p>
    <w:p w:rsidR="00955A90" w:rsidRPr="00955A90" w:rsidRDefault="00955A90" w:rsidP="00955A90">
      <w:pPr>
        <w:rPr>
          <w:rFonts w:ascii="Times New Roman" w:hAnsi="Times New Roman"/>
          <w:color w:val="000000"/>
          <w:sz w:val="44"/>
          <w:szCs w:val="44"/>
        </w:rPr>
      </w:pPr>
    </w:p>
    <w:p w:rsidR="00724F34" w:rsidRPr="00FB7B34" w:rsidRDefault="00724F34" w:rsidP="00724F34">
      <w:pPr>
        <w:jc w:val="center"/>
        <w:rPr>
          <w:rFonts w:ascii="Times New Roman" w:hAnsi="Times New Roman"/>
          <w:color w:val="000000"/>
          <w:sz w:val="44"/>
          <w:szCs w:val="44"/>
        </w:rPr>
      </w:pPr>
    </w:p>
    <w:p w:rsidR="00724F34" w:rsidRPr="00FB7B34" w:rsidRDefault="00724F34" w:rsidP="00724F34">
      <w:pPr>
        <w:jc w:val="center"/>
        <w:rPr>
          <w:b w:val="0"/>
          <w:bCs/>
          <w:color w:val="000000"/>
          <w:sz w:val="44"/>
          <w:szCs w:val="44"/>
        </w:rPr>
      </w:pPr>
      <w:r w:rsidRPr="00FB7B34">
        <w:rPr>
          <w:rFonts w:hint="eastAsia"/>
          <w:b w:val="0"/>
          <w:bCs/>
          <w:color w:val="000000"/>
          <w:sz w:val="44"/>
          <w:szCs w:val="44"/>
        </w:rPr>
        <w:t>二○一</w:t>
      </w:r>
      <w:r w:rsidR="00B00E56">
        <w:rPr>
          <w:rFonts w:hint="eastAsia"/>
          <w:b w:val="0"/>
          <w:bCs/>
          <w:color w:val="000000"/>
          <w:sz w:val="44"/>
          <w:szCs w:val="44"/>
        </w:rPr>
        <w:t>七</w:t>
      </w:r>
      <w:r w:rsidRPr="00FB7B34">
        <w:rPr>
          <w:rFonts w:hint="eastAsia"/>
          <w:b w:val="0"/>
          <w:bCs/>
          <w:color w:val="000000"/>
          <w:sz w:val="44"/>
          <w:szCs w:val="44"/>
        </w:rPr>
        <w:t>年</w:t>
      </w:r>
      <w:r w:rsidR="00955A90">
        <w:rPr>
          <w:rFonts w:hint="eastAsia"/>
          <w:b w:val="0"/>
          <w:bCs/>
          <w:color w:val="000000"/>
          <w:sz w:val="44"/>
          <w:szCs w:val="44"/>
        </w:rPr>
        <w:t>九</w:t>
      </w:r>
      <w:r w:rsidRPr="00FB7B34">
        <w:rPr>
          <w:rFonts w:hint="eastAsia"/>
          <w:b w:val="0"/>
          <w:bCs/>
          <w:color w:val="000000"/>
          <w:sz w:val="44"/>
          <w:szCs w:val="44"/>
        </w:rPr>
        <w:t>月</w:t>
      </w:r>
    </w:p>
    <w:p w:rsidR="00724F34" w:rsidRPr="00FB7B34" w:rsidRDefault="00724F34" w:rsidP="00724F34">
      <w:pPr>
        <w:jc w:val="center"/>
        <w:rPr>
          <w:rFonts w:ascii="Times New Roman" w:hAnsi="Times New Roman"/>
          <w:color w:val="000000"/>
          <w:sz w:val="44"/>
          <w:szCs w:val="44"/>
        </w:rPr>
        <w:sectPr w:rsidR="00724F34" w:rsidRPr="00FB7B34" w:rsidSect="00724F34">
          <w:footerReference w:type="even" r:id="rId9"/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955A90" w:rsidRPr="00C50352" w:rsidRDefault="00976F1E" w:rsidP="00955A90">
      <w:pPr>
        <w:spacing w:line="48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C50352">
        <w:rPr>
          <w:rFonts w:ascii="楷体" w:eastAsia="楷体" w:hAnsi="楷体" w:hint="eastAsia"/>
          <w:bCs/>
          <w:color w:val="000000"/>
          <w:sz w:val="36"/>
          <w:szCs w:val="36"/>
        </w:rPr>
        <w:lastRenderedPageBreak/>
        <w:t>以服务为宗旨 以规范为根本</w:t>
      </w:r>
    </w:p>
    <w:p w:rsidR="00955A90" w:rsidRPr="00C50352" w:rsidRDefault="00955A90" w:rsidP="00955A90">
      <w:pPr>
        <w:spacing w:line="480" w:lineRule="auto"/>
        <w:jc w:val="center"/>
        <w:rPr>
          <w:rFonts w:ascii="楷体" w:eastAsia="楷体" w:hAnsi="楷体"/>
          <w:bCs/>
          <w:color w:val="000000"/>
          <w:sz w:val="36"/>
          <w:szCs w:val="36"/>
        </w:rPr>
      </w:pPr>
      <w:r w:rsidRPr="00C50352">
        <w:rPr>
          <w:rFonts w:ascii="楷体" w:eastAsia="楷体" w:hAnsi="楷体" w:hint="eastAsia"/>
          <w:bCs/>
          <w:color w:val="000000"/>
          <w:sz w:val="36"/>
          <w:szCs w:val="36"/>
        </w:rPr>
        <w:t>全力做好毕业生就业工作</w:t>
      </w:r>
    </w:p>
    <w:p w:rsidR="00955A90" w:rsidRPr="00C50352" w:rsidRDefault="00955A90" w:rsidP="00955A90">
      <w:pPr>
        <w:spacing w:line="480" w:lineRule="auto"/>
        <w:jc w:val="center"/>
        <w:rPr>
          <w:rFonts w:ascii="方正楷体_GBK" w:eastAsia="方正楷体_GBK" w:hAnsi="宋体"/>
          <w:color w:val="000000"/>
          <w:sz w:val="30"/>
          <w:szCs w:val="30"/>
        </w:rPr>
      </w:pPr>
      <w:r w:rsidRPr="00C50352">
        <w:rPr>
          <w:rFonts w:ascii="方正楷体_GBK" w:eastAsia="方正楷体_GBK" w:hAnsi="宋体" w:hint="eastAsia"/>
          <w:b w:val="0"/>
          <w:bCs/>
          <w:color w:val="000000"/>
          <w:sz w:val="30"/>
          <w:szCs w:val="30"/>
        </w:rPr>
        <w:t>——201</w:t>
      </w:r>
      <w:r w:rsidR="00B00E56" w:rsidRPr="00C50352">
        <w:rPr>
          <w:rFonts w:ascii="方正楷体_GBK" w:eastAsia="方正楷体_GBK" w:hAnsi="宋体" w:hint="eastAsia"/>
          <w:b w:val="0"/>
          <w:bCs/>
          <w:color w:val="000000"/>
          <w:sz w:val="30"/>
          <w:szCs w:val="30"/>
        </w:rPr>
        <w:t>7</w:t>
      </w:r>
      <w:r w:rsidRPr="00C50352">
        <w:rPr>
          <w:rFonts w:ascii="方正楷体_GBK" w:eastAsia="方正楷体_GBK" w:hAnsi="宋体" w:hint="eastAsia"/>
          <w:b w:val="0"/>
          <w:bCs/>
          <w:color w:val="000000"/>
          <w:sz w:val="30"/>
          <w:szCs w:val="30"/>
        </w:rPr>
        <w:t>届毕业生就业工作总结</w:t>
      </w:r>
    </w:p>
    <w:p w:rsidR="0024779C" w:rsidRPr="00955A90" w:rsidRDefault="0024779C" w:rsidP="0024779C">
      <w:pPr>
        <w:rPr>
          <w:rFonts w:ascii="宋体" w:hAnsi="宋体"/>
          <w:b w:val="0"/>
          <w:sz w:val="28"/>
          <w:szCs w:val="28"/>
        </w:rPr>
      </w:pPr>
    </w:p>
    <w:p w:rsidR="00976F1E" w:rsidRPr="00C50352" w:rsidRDefault="00C07D42" w:rsidP="00C50352">
      <w:pPr>
        <w:ind w:firstLineChars="200" w:firstLine="560"/>
        <w:rPr>
          <w:rFonts w:ascii="方正楷体_GBK" w:eastAsia="方正楷体_GBK" w:hAnsi="华文仿宋"/>
          <w:b w:val="0"/>
          <w:bCs/>
          <w:color w:val="000000"/>
          <w:sz w:val="28"/>
          <w:szCs w:val="28"/>
        </w:rPr>
      </w:pPr>
      <w:r w:rsidRPr="00C07D42">
        <w:rPr>
          <w:rFonts w:ascii="方正楷体_GBK" w:eastAsia="方正楷体_GBK" w:hAnsi="华文仿宋" w:hint="eastAsia"/>
          <w:b w:val="0"/>
          <w:bCs/>
          <w:color w:val="000000"/>
          <w:sz w:val="28"/>
          <w:szCs w:val="28"/>
        </w:rPr>
        <w:t>2017年，</w:t>
      </w:r>
      <w:r w:rsidR="00976F1E" w:rsidRPr="00BE3344">
        <w:rPr>
          <w:rFonts w:ascii="方正楷体_GBK" w:eastAsia="方正楷体_GBK" w:hAnsi="华文仿宋" w:hint="eastAsia"/>
          <w:b w:val="0"/>
          <w:bCs/>
          <w:color w:val="000000"/>
          <w:sz w:val="28"/>
          <w:szCs w:val="28"/>
        </w:rPr>
        <w:t>学</w:t>
      </w:r>
      <w:r w:rsidR="00E239EC" w:rsidRPr="00BE3344">
        <w:rPr>
          <w:rFonts w:ascii="方正楷体_GBK" w:eastAsia="方正楷体_GBK" w:hAnsi="华文仿宋" w:hint="eastAsia"/>
          <w:b w:val="0"/>
          <w:bCs/>
          <w:color w:val="000000"/>
          <w:sz w:val="28"/>
          <w:szCs w:val="28"/>
        </w:rPr>
        <w:t>院</w:t>
      </w:r>
      <w:r w:rsidR="00976F1E" w:rsidRPr="00BE3344">
        <w:rPr>
          <w:rFonts w:ascii="方正楷体_GBK" w:eastAsia="方正楷体_GBK" w:hAnsi="华文仿宋" w:hint="eastAsia"/>
          <w:b w:val="0"/>
          <w:bCs/>
          <w:color w:val="000000"/>
          <w:sz w:val="28"/>
          <w:szCs w:val="28"/>
        </w:rPr>
        <w:t>围绕“以服务为宗旨 以规范为根本”这一工作要求，发动全体教职员工，</w:t>
      </w:r>
      <w:r w:rsidR="00E254FE" w:rsidRPr="00BE3344">
        <w:rPr>
          <w:rFonts w:ascii="方正楷体_GBK" w:eastAsia="方正楷体_GBK" w:hAnsi="华文仿宋" w:hint="eastAsia"/>
          <w:b w:val="0"/>
          <w:bCs/>
          <w:color w:val="000000"/>
          <w:sz w:val="28"/>
          <w:szCs w:val="28"/>
        </w:rPr>
        <w:t>圆满完成了</w:t>
      </w:r>
      <w:r w:rsidR="00976F1E" w:rsidRPr="00BE3344">
        <w:rPr>
          <w:rFonts w:ascii="方正楷体_GBK" w:eastAsia="方正楷体_GBK" w:hAnsi="华文仿宋" w:hint="eastAsia"/>
          <w:b w:val="0"/>
          <w:bCs/>
          <w:color w:val="000000"/>
          <w:sz w:val="28"/>
          <w:szCs w:val="28"/>
        </w:rPr>
        <w:t>本届毕业生就业工作，取得预期效果。</w:t>
      </w:r>
    </w:p>
    <w:p w:rsidR="00B64B2A" w:rsidRPr="00BE3344" w:rsidRDefault="00724F34" w:rsidP="00FF3039">
      <w:pPr>
        <w:pStyle w:val="p0"/>
        <w:spacing w:line="560" w:lineRule="exact"/>
        <w:outlineLvl w:val="0"/>
        <w:rPr>
          <w:rFonts w:ascii="黑体" w:eastAsia="黑体" w:hAnsi="黑体" w:cs="Times New Roman"/>
          <w:b w:val="0"/>
          <w:color w:val="000000"/>
          <w:sz w:val="32"/>
          <w:szCs w:val="32"/>
        </w:rPr>
      </w:pPr>
      <w:r w:rsidRPr="00BE3344">
        <w:rPr>
          <w:rFonts w:ascii="黑体" w:eastAsia="黑体" w:hAnsi="黑体" w:cs="Times New Roman" w:hint="eastAsia"/>
          <w:b w:val="0"/>
          <w:color w:val="000000"/>
          <w:sz w:val="32"/>
          <w:szCs w:val="32"/>
        </w:rPr>
        <w:t>一、</w:t>
      </w:r>
      <w:r w:rsidR="00B64B2A" w:rsidRPr="00BE3344">
        <w:rPr>
          <w:rFonts w:ascii="黑体" w:eastAsia="黑体" w:hAnsi="黑体" w:cs="Times New Roman"/>
          <w:b w:val="0"/>
          <w:color w:val="000000"/>
          <w:sz w:val="32"/>
          <w:szCs w:val="32"/>
        </w:rPr>
        <w:t>我校201</w:t>
      </w:r>
      <w:r w:rsidR="00B00E56" w:rsidRPr="00BE3344">
        <w:rPr>
          <w:rFonts w:ascii="黑体" w:eastAsia="黑体" w:hAnsi="黑体" w:cs="Times New Roman" w:hint="eastAsia"/>
          <w:b w:val="0"/>
          <w:color w:val="000000"/>
          <w:sz w:val="32"/>
          <w:szCs w:val="32"/>
        </w:rPr>
        <w:t>7</w:t>
      </w:r>
      <w:r w:rsidR="00B64B2A" w:rsidRPr="00BE3344">
        <w:rPr>
          <w:rFonts w:ascii="黑体" w:eastAsia="黑体" w:hAnsi="黑体" w:cs="Times New Roman"/>
          <w:b w:val="0"/>
          <w:color w:val="000000"/>
          <w:sz w:val="32"/>
          <w:szCs w:val="32"/>
        </w:rPr>
        <w:t>届毕业生</w:t>
      </w:r>
      <w:r w:rsidR="0057797F" w:rsidRPr="00BE3344">
        <w:rPr>
          <w:rFonts w:ascii="黑体" w:eastAsia="黑体" w:hAnsi="黑体" w:cs="Times New Roman" w:hint="eastAsia"/>
          <w:b w:val="0"/>
          <w:color w:val="000000"/>
          <w:sz w:val="32"/>
          <w:szCs w:val="32"/>
        </w:rPr>
        <w:t>就业</w:t>
      </w:r>
      <w:r w:rsidR="00E76BF9" w:rsidRPr="00BE3344">
        <w:rPr>
          <w:rFonts w:ascii="黑体" w:eastAsia="黑体" w:hAnsi="黑体" w:cs="Times New Roman"/>
          <w:b w:val="0"/>
          <w:color w:val="000000"/>
          <w:sz w:val="32"/>
          <w:szCs w:val="32"/>
        </w:rPr>
        <w:t>基本</w:t>
      </w:r>
      <w:r w:rsidR="00B64B2A" w:rsidRPr="00BE3344">
        <w:rPr>
          <w:rFonts w:ascii="黑体" w:eastAsia="黑体" w:hAnsi="黑体" w:cs="Times New Roman"/>
          <w:b w:val="0"/>
          <w:color w:val="000000"/>
          <w:sz w:val="32"/>
          <w:szCs w:val="32"/>
        </w:rPr>
        <w:t>情况</w:t>
      </w:r>
    </w:p>
    <w:p w:rsidR="00FF3039" w:rsidRPr="00BE3344" w:rsidRDefault="00FF3039" w:rsidP="00FF3039">
      <w:pPr>
        <w:pStyle w:val="2"/>
        <w:rPr>
          <w:rFonts w:ascii="黑体" w:eastAsia="黑体" w:hAnsi="黑体"/>
          <w:b w:val="0"/>
          <w:color w:val="000000"/>
          <w:kern w:val="0"/>
          <w:sz w:val="28"/>
          <w:szCs w:val="28"/>
        </w:rPr>
      </w:pPr>
      <w:r w:rsidRPr="00BE3344">
        <w:rPr>
          <w:rFonts w:ascii="黑体" w:eastAsia="黑体" w:hAnsi="黑体" w:hint="eastAsia"/>
          <w:b w:val="0"/>
          <w:color w:val="000000"/>
          <w:kern w:val="0"/>
          <w:sz w:val="28"/>
          <w:szCs w:val="28"/>
        </w:rPr>
        <w:t>（一）总体情况</w:t>
      </w:r>
    </w:p>
    <w:p w:rsidR="00C04555" w:rsidRPr="00BE3344" w:rsidRDefault="00B64B2A" w:rsidP="00EB5A7B">
      <w:pPr>
        <w:widowControl/>
        <w:spacing w:line="560" w:lineRule="exact"/>
        <w:ind w:firstLineChars="200" w:firstLine="560"/>
        <w:jc w:val="left"/>
        <w:rPr>
          <w:rFonts w:ascii="方正楷体_GBK" w:eastAsia="方正楷体_GBK" w:hAnsi="宋体"/>
          <w:b w:val="0"/>
          <w:color w:val="000000"/>
          <w:kern w:val="0"/>
          <w:sz w:val="28"/>
          <w:szCs w:val="28"/>
        </w:rPr>
      </w:pPr>
      <w:r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201</w:t>
      </w:r>
      <w:r w:rsidR="00976F1E"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7</w:t>
      </w:r>
      <w:r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届毕业生就业工作</w:t>
      </w:r>
      <w:r w:rsidR="003C240B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于八月</w:t>
      </w:r>
      <w:r w:rsidR="00976F1E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三十一</w:t>
      </w:r>
      <w:r w:rsidR="003C240B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日全部结束，</w:t>
      </w:r>
      <w:r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学院今年共有</w:t>
      </w:r>
      <w:r w:rsidR="00E01771"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3</w:t>
      </w:r>
      <w:r w:rsidR="00E254FE"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148</w:t>
      </w:r>
      <w:r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名毕业生</w:t>
      </w:r>
      <w:r w:rsidR="003C240B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，比20</w:t>
      </w:r>
      <w:r w:rsidR="00976F1E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16</w:t>
      </w:r>
      <w:r w:rsidR="003C240B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届</w:t>
      </w:r>
      <w:r w:rsidR="00976F1E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增加73</w:t>
      </w:r>
      <w:r w:rsidR="003C240B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名</w:t>
      </w:r>
      <w:r w:rsidR="0057797F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，其中女生</w:t>
      </w:r>
      <w:r w:rsidR="00E254FE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2048</w:t>
      </w:r>
      <w:r w:rsidR="0057797F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名，男生</w:t>
      </w:r>
      <w:r w:rsidR="00E254FE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1100</w:t>
      </w:r>
      <w:r w:rsidR="0057797F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名</w:t>
      </w:r>
      <w:r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。截止到</w:t>
      </w:r>
      <w:r w:rsidR="00E76BF9"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8</w:t>
      </w:r>
      <w:r w:rsidR="00E01771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月</w:t>
      </w:r>
      <w:r w:rsidR="00E254FE"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31</w:t>
      </w:r>
      <w:r w:rsidR="00E01771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日，</w:t>
      </w:r>
      <w:r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已就业人数达到</w:t>
      </w:r>
      <w:r w:rsidR="00E76BF9"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3</w:t>
      </w:r>
      <w:r w:rsidR="003C240B"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0</w:t>
      </w:r>
      <w:r w:rsidR="00E254FE"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94</w:t>
      </w:r>
      <w:r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人，</w:t>
      </w:r>
      <w:r w:rsidR="003C240B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就业率达到</w:t>
      </w:r>
      <w:r w:rsidR="003C240B"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98.</w:t>
      </w:r>
      <w:r w:rsidR="00E254FE"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28</w:t>
      </w:r>
      <w:r w:rsidR="003C240B"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%，比去年同期提高0.</w:t>
      </w:r>
      <w:r w:rsidR="00E254FE"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23</w:t>
      </w:r>
      <w:r w:rsidR="003C240B"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个百分点。</w:t>
      </w:r>
      <w:r w:rsidR="00E254FE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各类就业去向</w:t>
      </w:r>
      <w:r w:rsidR="000C5317" w:rsidRPr="00BE3344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如下表：</w:t>
      </w:r>
    </w:p>
    <w:tbl>
      <w:tblPr>
        <w:tblW w:w="9511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709"/>
        <w:gridCol w:w="915"/>
        <w:gridCol w:w="1061"/>
        <w:gridCol w:w="1061"/>
        <w:gridCol w:w="945"/>
        <w:gridCol w:w="945"/>
        <w:gridCol w:w="992"/>
        <w:gridCol w:w="945"/>
        <w:gridCol w:w="945"/>
      </w:tblGrid>
      <w:tr w:rsidR="000C5317" w:rsidRPr="000C5317" w:rsidTr="00BE3344">
        <w:trPr>
          <w:trHeight w:val="480"/>
        </w:trPr>
        <w:tc>
          <w:tcPr>
            <w:tcW w:w="993" w:type="dxa"/>
            <w:shd w:val="clear" w:color="auto" w:fill="auto"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Cs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毕业生人数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Cs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就业人数</w:t>
            </w:r>
          </w:p>
        </w:tc>
        <w:tc>
          <w:tcPr>
            <w:tcW w:w="915" w:type="dxa"/>
            <w:shd w:val="clear" w:color="auto" w:fill="auto"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Cs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就业率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Cs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签就业协议</w:t>
            </w:r>
          </w:p>
        </w:tc>
        <w:tc>
          <w:tcPr>
            <w:tcW w:w="1061" w:type="dxa"/>
            <w:shd w:val="clear" w:color="auto" w:fill="auto"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Cs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签劳动合同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Cs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其他</w:t>
            </w:r>
          </w:p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Cs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录用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Cs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自主</w:t>
            </w:r>
          </w:p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Cs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创业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Cs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自由</w:t>
            </w:r>
          </w:p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Cs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职业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Cs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升学</w:t>
            </w:r>
          </w:p>
        </w:tc>
        <w:tc>
          <w:tcPr>
            <w:tcW w:w="945" w:type="dxa"/>
            <w:shd w:val="clear" w:color="auto" w:fill="auto"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Cs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出国</w:t>
            </w:r>
          </w:p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Cs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出境</w:t>
            </w:r>
          </w:p>
        </w:tc>
      </w:tr>
      <w:tr w:rsidR="000C5317" w:rsidRPr="000C5317" w:rsidTr="00BE3344">
        <w:trPr>
          <w:trHeight w:val="255"/>
        </w:trPr>
        <w:tc>
          <w:tcPr>
            <w:tcW w:w="993" w:type="dxa"/>
            <w:shd w:val="clear" w:color="000000" w:fill="EFEFEF"/>
            <w:noWrap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>3148</w:t>
            </w:r>
          </w:p>
        </w:tc>
        <w:tc>
          <w:tcPr>
            <w:tcW w:w="709" w:type="dxa"/>
            <w:shd w:val="clear" w:color="000000" w:fill="EFEFEF"/>
            <w:noWrap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>3094</w:t>
            </w:r>
          </w:p>
        </w:tc>
        <w:tc>
          <w:tcPr>
            <w:tcW w:w="915" w:type="dxa"/>
            <w:shd w:val="clear" w:color="000000" w:fill="EFEFEF"/>
            <w:noWrap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>98.28%</w:t>
            </w:r>
          </w:p>
        </w:tc>
        <w:tc>
          <w:tcPr>
            <w:tcW w:w="1061" w:type="dxa"/>
            <w:shd w:val="clear" w:color="000000" w:fill="EFEFEF"/>
            <w:noWrap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 xml:space="preserve">2378 </w:t>
            </w: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(</w:t>
            </w: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>75.54%</w:t>
            </w: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1061" w:type="dxa"/>
            <w:shd w:val="clear" w:color="000000" w:fill="EFEFEF"/>
            <w:noWrap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 xml:space="preserve">365 </w:t>
            </w: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(</w:t>
            </w: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>11.59%</w:t>
            </w: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945" w:type="dxa"/>
            <w:shd w:val="clear" w:color="000000" w:fill="EFEFEF"/>
            <w:noWrap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 xml:space="preserve">96 </w:t>
            </w: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(</w:t>
            </w: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>3.05%</w:t>
            </w: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945" w:type="dxa"/>
            <w:shd w:val="clear" w:color="000000" w:fill="EFEFEF"/>
            <w:noWrap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 xml:space="preserve">12 </w:t>
            </w: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(</w:t>
            </w: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>0.38%</w:t>
            </w: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992" w:type="dxa"/>
            <w:shd w:val="clear" w:color="000000" w:fill="EFEFEF"/>
            <w:noWrap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 xml:space="preserve">1 </w:t>
            </w: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(</w:t>
            </w: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>0.03%</w:t>
            </w: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945" w:type="dxa"/>
            <w:shd w:val="clear" w:color="000000" w:fill="EFEFEF"/>
            <w:noWrap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 xml:space="preserve">212 </w:t>
            </w: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(</w:t>
            </w: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>6.73%</w:t>
            </w: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)</w:t>
            </w:r>
          </w:p>
        </w:tc>
        <w:tc>
          <w:tcPr>
            <w:tcW w:w="945" w:type="dxa"/>
            <w:shd w:val="clear" w:color="000000" w:fill="EFEFEF"/>
            <w:noWrap/>
            <w:vAlign w:val="center"/>
            <w:hideMark/>
          </w:tcPr>
          <w:p w:rsidR="000C5317" w:rsidRPr="00BE3344" w:rsidRDefault="000C5317" w:rsidP="000C5317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 w:val="24"/>
              </w:rPr>
            </w:pP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 xml:space="preserve">30 </w:t>
            </w: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(</w:t>
            </w:r>
            <w:r w:rsidRPr="00BE3344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 w:val="24"/>
              </w:rPr>
              <w:t>0.95%</w:t>
            </w:r>
            <w:r w:rsidRPr="00BE3344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 w:val="24"/>
              </w:rPr>
              <w:t>)</w:t>
            </w:r>
          </w:p>
        </w:tc>
      </w:tr>
    </w:tbl>
    <w:p w:rsidR="000C7D62" w:rsidRPr="00BE3344" w:rsidRDefault="000C5317" w:rsidP="000C5317">
      <w:pPr>
        <w:widowControl/>
        <w:spacing w:line="560" w:lineRule="exact"/>
        <w:ind w:firstLineChars="200" w:firstLine="560"/>
        <w:jc w:val="left"/>
        <w:rPr>
          <w:rFonts w:ascii="方正楷体_GBK" w:eastAsia="方正楷体_GBK" w:hAnsi="Times New Roman"/>
          <w:b w:val="0"/>
          <w:color w:val="000000"/>
          <w:kern w:val="0"/>
          <w:sz w:val="28"/>
          <w:szCs w:val="28"/>
        </w:rPr>
      </w:pPr>
      <w:r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与2016届毕业生就业情况相比，其他录用形式毕业生数有所下降，自主创业、升学及出国出境人数、比例均有不同程度上升。</w:t>
      </w:r>
      <w:r w:rsidR="008277A8"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其中，</w:t>
      </w:r>
      <w:r w:rsidR="00FF3039" w:rsidRPr="00BE3344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升学比例上升最大，为1.72%。</w:t>
      </w:r>
    </w:p>
    <w:p w:rsidR="00FF3039" w:rsidRPr="008C0300" w:rsidRDefault="00FF3039" w:rsidP="00FF3039">
      <w:pPr>
        <w:pStyle w:val="2"/>
        <w:rPr>
          <w:rFonts w:ascii="黑体" w:eastAsia="黑体" w:hAnsi="黑体"/>
          <w:b w:val="0"/>
          <w:color w:val="000000"/>
          <w:kern w:val="0"/>
        </w:rPr>
      </w:pPr>
      <w:r w:rsidRPr="008C0300">
        <w:rPr>
          <w:rFonts w:ascii="黑体" w:eastAsia="黑体" w:hAnsi="黑体" w:hint="eastAsia"/>
          <w:b w:val="0"/>
          <w:color w:val="000000"/>
          <w:kern w:val="0"/>
        </w:rPr>
        <w:t>（二）生源数据</w:t>
      </w:r>
    </w:p>
    <w:p w:rsidR="008F4D1D" w:rsidRPr="00BE3344" w:rsidRDefault="00C04555" w:rsidP="00B26680">
      <w:pPr>
        <w:pStyle w:val="3"/>
        <w:rPr>
          <w:rFonts w:ascii="方正楷体_GBK" w:eastAsia="方正楷体_GBK" w:hAnsi="Times New Roman"/>
          <w:b w:val="0"/>
          <w:color w:val="000000"/>
          <w:sz w:val="28"/>
        </w:rPr>
      </w:pPr>
      <w:r w:rsidRPr="00BE3344">
        <w:rPr>
          <w:rFonts w:ascii="方正楷体_GBK" w:eastAsia="方正楷体_GBK" w:hAnsi="宋体" w:hint="eastAsia"/>
          <w:b w:val="0"/>
          <w:color w:val="000000"/>
          <w:sz w:val="28"/>
        </w:rPr>
        <w:t>毕业生生源</w:t>
      </w:r>
      <w:r w:rsidR="008F4D1D" w:rsidRPr="00BE3344">
        <w:rPr>
          <w:rFonts w:ascii="方正楷体_GBK" w:eastAsia="方正楷体_GBK" w:hAnsi="宋体" w:hint="eastAsia"/>
          <w:b w:val="0"/>
          <w:color w:val="000000"/>
          <w:sz w:val="28"/>
        </w:rPr>
        <w:t>区域</w:t>
      </w:r>
      <w:r w:rsidR="000B5D24" w:rsidRPr="00BE3344">
        <w:rPr>
          <w:rFonts w:ascii="方正楷体_GBK" w:eastAsia="方正楷体_GBK" w:hAnsi="宋体" w:hint="eastAsia"/>
          <w:b w:val="0"/>
          <w:color w:val="000000"/>
          <w:sz w:val="28"/>
        </w:rPr>
        <w:t>分布</w:t>
      </w:r>
    </w:p>
    <w:p w:rsidR="00C04555" w:rsidRPr="00FB7B34" w:rsidRDefault="000404E3" w:rsidP="00C04555">
      <w:pPr>
        <w:jc w:val="center"/>
        <w:rPr>
          <w:rFonts w:ascii="Times New Roman" w:hAnsi="Times New Roman"/>
          <w:b w:val="0"/>
          <w:color w:val="000000"/>
          <w:sz w:val="28"/>
        </w:rPr>
      </w:pPr>
      <w:r>
        <w:rPr>
          <w:rFonts w:ascii="Times New Roman" w:hAnsi="Times New Roman"/>
          <w:b w:val="0"/>
          <w:noProof/>
          <w:color w:val="000000"/>
          <w:sz w:val="28"/>
        </w:rPr>
        <w:drawing>
          <wp:inline distT="0" distB="0" distL="0" distR="0">
            <wp:extent cx="4572762" cy="2746629"/>
            <wp:effectExtent l="12192" t="6096" r="6096" b="0"/>
            <wp:docPr id="2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04555" w:rsidRPr="00BE3344" w:rsidRDefault="000B5D24" w:rsidP="008F4D1D">
      <w:pPr>
        <w:ind w:firstLine="570"/>
        <w:rPr>
          <w:rFonts w:ascii="方正楷体_GBK" w:eastAsia="方正楷体_GBK" w:hAnsi="Times New Roman"/>
          <w:b w:val="0"/>
          <w:color w:val="000000"/>
          <w:sz w:val="28"/>
        </w:rPr>
      </w:pPr>
      <w:r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本届</w:t>
      </w:r>
      <w:r w:rsidR="007E4112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3148名</w:t>
      </w:r>
      <w:r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毕业生来自</w:t>
      </w:r>
      <w:r w:rsidR="00E3657C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21</w:t>
      </w:r>
      <w:r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个省、市、自治区，</w:t>
      </w:r>
      <w:r w:rsidR="00E3657C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生源分布区域较上一年度有所扩大。</w:t>
      </w:r>
      <w:r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其中</w:t>
      </w:r>
      <w:r w:rsidR="00E3657C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94.12</w:t>
      </w:r>
      <w:r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%来自浙江省，</w:t>
      </w:r>
      <w:r w:rsidR="00D3664D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人数达到29</w:t>
      </w:r>
      <w:r w:rsidR="00E3657C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63</w:t>
      </w:r>
      <w:r w:rsidR="00D3664D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人。浙江省又以宁波为最多，为</w:t>
      </w:r>
      <w:r w:rsidR="00E3657C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968</w:t>
      </w:r>
      <w:r w:rsidR="00D3664D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人（</w:t>
      </w:r>
      <w:r w:rsidR="00E3657C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30.75</w:t>
      </w:r>
      <w:r w:rsidR="00D3664D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%）</w:t>
      </w:r>
      <w:r w:rsidR="008F4D1D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；</w:t>
      </w:r>
      <w:r w:rsidR="00D3664D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温州次之，</w:t>
      </w:r>
      <w:r w:rsidR="008F4D1D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4</w:t>
      </w:r>
      <w:r w:rsidR="00E3657C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11</w:t>
      </w:r>
      <w:r w:rsidR="008F4D1D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人（</w:t>
      </w:r>
      <w:r w:rsidR="007E4112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13.06</w:t>
      </w:r>
      <w:r w:rsidR="008F4D1D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%）；</w:t>
      </w:r>
      <w:r w:rsidR="007E4112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杭州、绍兴</w:t>
      </w:r>
      <w:r w:rsidR="008F4D1D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紧跟其后，分别为3</w:t>
      </w:r>
      <w:r w:rsidR="007E4112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14</w:t>
      </w:r>
      <w:r w:rsidR="008F4D1D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人、</w:t>
      </w:r>
      <w:r w:rsidR="007E4112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296</w:t>
      </w:r>
      <w:r w:rsidR="008F4D1D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人，占比分别为</w:t>
      </w:r>
      <w:r w:rsidR="007E4112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9.97</w:t>
      </w:r>
      <w:r w:rsidR="008F4D1D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%和</w:t>
      </w:r>
      <w:r w:rsidR="007E4112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9.40</w:t>
      </w:r>
      <w:r w:rsidR="008F4D1D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%。</w:t>
      </w:r>
      <w:r w:rsidR="007E4112" w:rsidRPr="00BE3344">
        <w:rPr>
          <w:rFonts w:ascii="方正楷体_GBK" w:eastAsia="方正楷体_GBK" w:hAnsi="Times New Roman" w:hint="eastAsia"/>
          <w:b w:val="0"/>
          <w:color w:val="000000"/>
          <w:sz w:val="28"/>
        </w:rPr>
        <w:t>省外生源以安徽居多，为90人，占省外毕业生总数的48.65%。</w:t>
      </w:r>
    </w:p>
    <w:p w:rsidR="007E4112" w:rsidRPr="00BE3344" w:rsidRDefault="00BE3344" w:rsidP="00B26680">
      <w:pPr>
        <w:pStyle w:val="2"/>
        <w:rPr>
          <w:rFonts w:ascii="黑体" w:eastAsia="黑体" w:hAnsi="黑体"/>
          <w:b w:val="0"/>
          <w:color w:val="000000"/>
          <w:sz w:val="28"/>
        </w:rPr>
      </w:pPr>
      <w:r w:rsidRPr="00BE3344">
        <w:rPr>
          <w:rFonts w:ascii="黑体" w:eastAsia="黑体" w:hAnsi="黑体" w:hint="eastAsia"/>
          <w:b w:val="0"/>
          <w:color w:val="000000"/>
          <w:sz w:val="28"/>
        </w:rPr>
        <w:t>（三</w:t>
      </w:r>
      <w:r w:rsidR="007E4112" w:rsidRPr="00BE3344">
        <w:rPr>
          <w:rFonts w:ascii="黑体" w:eastAsia="黑体" w:hAnsi="黑体" w:hint="eastAsia"/>
          <w:b w:val="0"/>
          <w:color w:val="000000"/>
          <w:sz w:val="28"/>
        </w:rPr>
        <w:t>）就业数据</w:t>
      </w:r>
    </w:p>
    <w:p w:rsidR="00B64B2A" w:rsidRPr="00BE3344" w:rsidRDefault="00BE3344" w:rsidP="00B26680">
      <w:pPr>
        <w:pStyle w:val="3"/>
        <w:rPr>
          <w:rFonts w:ascii="方正楷体_GBK" w:eastAsia="方正楷体_GBK" w:hAnsi="Times New Roman"/>
          <w:b w:val="0"/>
          <w:color w:val="000000"/>
          <w:sz w:val="28"/>
        </w:rPr>
      </w:pPr>
      <w:r w:rsidRPr="00BE3344">
        <w:rPr>
          <w:rFonts w:ascii="方正楷体_GBK" w:eastAsia="方正楷体_GBK" w:hAnsi="宋体" w:hint="eastAsia"/>
          <w:b w:val="0"/>
          <w:color w:val="000000"/>
          <w:sz w:val="28"/>
        </w:rPr>
        <w:t>1、</w:t>
      </w:r>
      <w:r w:rsidR="00B64B2A" w:rsidRPr="00BE3344">
        <w:rPr>
          <w:rFonts w:ascii="方正楷体_GBK" w:eastAsia="方正楷体_GBK" w:hAnsi="宋体" w:hint="eastAsia"/>
          <w:b w:val="0"/>
          <w:color w:val="000000"/>
          <w:sz w:val="28"/>
        </w:rPr>
        <w:t>各二级学院</w:t>
      </w:r>
      <w:r w:rsidR="00E02578" w:rsidRPr="00BE3344">
        <w:rPr>
          <w:rFonts w:ascii="方正楷体_GBK" w:eastAsia="方正楷体_GBK" w:hAnsi="宋体" w:hint="eastAsia"/>
          <w:b w:val="0"/>
          <w:color w:val="000000"/>
          <w:sz w:val="28"/>
        </w:rPr>
        <w:t>毕业生</w:t>
      </w:r>
      <w:r w:rsidR="00B64B2A" w:rsidRPr="00BE3344">
        <w:rPr>
          <w:rFonts w:ascii="方正楷体_GBK" w:eastAsia="方正楷体_GBK" w:hAnsi="宋体" w:hint="eastAsia"/>
          <w:b w:val="0"/>
          <w:color w:val="000000"/>
          <w:sz w:val="28"/>
        </w:rPr>
        <w:t>就业</w:t>
      </w:r>
      <w:r w:rsidR="00E02578" w:rsidRPr="00BE3344">
        <w:rPr>
          <w:rFonts w:ascii="方正楷体_GBK" w:eastAsia="方正楷体_GBK" w:hAnsi="宋体" w:hint="eastAsia"/>
          <w:b w:val="0"/>
          <w:color w:val="000000"/>
          <w:sz w:val="28"/>
        </w:rPr>
        <w:t>情况</w:t>
      </w:r>
    </w:p>
    <w:tbl>
      <w:tblPr>
        <w:tblW w:w="8635" w:type="dxa"/>
        <w:jc w:val="center"/>
        <w:tblLayout w:type="fixed"/>
        <w:tblLook w:val="0000"/>
      </w:tblPr>
      <w:tblGrid>
        <w:gridCol w:w="2115"/>
        <w:gridCol w:w="1134"/>
        <w:gridCol w:w="708"/>
        <w:gridCol w:w="993"/>
        <w:gridCol w:w="744"/>
        <w:gridCol w:w="957"/>
        <w:gridCol w:w="1062"/>
        <w:gridCol w:w="922"/>
      </w:tblGrid>
      <w:tr w:rsidR="002B0479" w:rsidRPr="00FB7B34" w:rsidTr="008C0300">
        <w:trPr>
          <w:trHeight w:val="454"/>
          <w:jc w:val="center"/>
        </w:trPr>
        <w:tc>
          <w:tcPr>
            <w:tcW w:w="2115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B0479" w:rsidRPr="007E4112" w:rsidRDefault="002B0479" w:rsidP="007960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B7B34">
              <w:rPr>
                <w:rFonts w:ascii="Times New Roman" w:hAnsi="Times New Roman"/>
                <w:color w:val="000000"/>
                <w:kern w:val="0"/>
                <w:szCs w:val="21"/>
              </w:rPr>
              <w:t>所在学院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B0479" w:rsidRPr="00FB7B34" w:rsidRDefault="002B0479" w:rsidP="007960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 w:rsidRPr="00FB7B34">
              <w:rPr>
                <w:rFonts w:ascii="Times New Roman" w:hAnsi="Times New Roman"/>
                <w:color w:val="000000"/>
                <w:kern w:val="0"/>
                <w:szCs w:val="21"/>
              </w:rPr>
              <w:t>201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7</w:t>
            </w:r>
            <w:r w:rsidRPr="00FB7B34">
              <w:rPr>
                <w:rFonts w:ascii="Times New Roman" w:hAnsi="Times New Roman"/>
                <w:color w:val="000000"/>
                <w:kern w:val="0"/>
                <w:szCs w:val="21"/>
              </w:rPr>
              <w:t>届毕业生人数</w:t>
            </w:r>
          </w:p>
        </w:tc>
        <w:tc>
          <w:tcPr>
            <w:tcW w:w="708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B0479" w:rsidRPr="00FB7B34" w:rsidRDefault="002B0479" w:rsidP="007960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就业</w:t>
            </w:r>
            <w:r w:rsidRPr="00FB7B34">
              <w:rPr>
                <w:rFonts w:ascii="Times New Roman" w:hAnsi="Times New Roman"/>
                <w:color w:val="000000"/>
                <w:kern w:val="0"/>
                <w:szCs w:val="21"/>
              </w:rPr>
              <w:t>人数</w:t>
            </w:r>
          </w:p>
        </w:tc>
        <w:tc>
          <w:tcPr>
            <w:tcW w:w="993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B0479" w:rsidRPr="00FB7B34" w:rsidRDefault="002B0479" w:rsidP="007960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就业率</w:t>
            </w:r>
          </w:p>
        </w:tc>
        <w:tc>
          <w:tcPr>
            <w:tcW w:w="74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2B0479" w:rsidRPr="00FB7B34" w:rsidRDefault="002B0479" w:rsidP="007960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签约人数</w:t>
            </w:r>
          </w:p>
        </w:tc>
        <w:tc>
          <w:tcPr>
            <w:tcW w:w="957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CCCCC"/>
            <w:vAlign w:val="center"/>
          </w:tcPr>
          <w:p w:rsidR="002B0479" w:rsidRPr="00FB7B34" w:rsidRDefault="002B0479" w:rsidP="007960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签约率</w:t>
            </w:r>
          </w:p>
        </w:tc>
        <w:tc>
          <w:tcPr>
            <w:tcW w:w="1062" w:type="dxa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:rsidR="002B0479" w:rsidRPr="00FB7B34" w:rsidRDefault="002B0479" w:rsidP="007960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2016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届</w:t>
            </w:r>
            <w:r w:rsidRPr="00FB7B34">
              <w:rPr>
                <w:rFonts w:ascii="Times New Roman" w:hAnsi="Times New Roman"/>
                <w:color w:val="000000"/>
                <w:kern w:val="0"/>
                <w:szCs w:val="21"/>
              </w:rPr>
              <w:t>就业率</w:t>
            </w:r>
          </w:p>
        </w:tc>
        <w:tc>
          <w:tcPr>
            <w:tcW w:w="92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CCCCCC"/>
            <w:vAlign w:val="center"/>
          </w:tcPr>
          <w:p w:rsidR="002B0479" w:rsidRPr="00FB7B34" w:rsidRDefault="002B0479" w:rsidP="00796003"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2016</w:t>
            </w:r>
            <w:r>
              <w:rPr>
                <w:rFonts w:ascii="Times New Roman" w:hAnsi="Times New Roman" w:hint="eastAsia"/>
                <w:color w:val="000000"/>
                <w:kern w:val="0"/>
                <w:szCs w:val="21"/>
              </w:rPr>
              <w:t>届</w:t>
            </w:r>
            <w:r w:rsidRPr="00FB7B34">
              <w:rPr>
                <w:rFonts w:ascii="Times New Roman" w:hAnsi="Times New Roman"/>
                <w:color w:val="000000"/>
                <w:kern w:val="0"/>
                <w:szCs w:val="21"/>
              </w:rPr>
              <w:t>签约率</w:t>
            </w:r>
          </w:p>
        </w:tc>
      </w:tr>
      <w:tr w:rsidR="00796003" w:rsidRPr="00FB7B34" w:rsidTr="008C0300">
        <w:trPr>
          <w:trHeight w:val="454"/>
          <w:jc w:val="center"/>
        </w:trPr>
        <w:tc>
          <w:tcPr>
            <w:tcW w:w="21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雅戈尔商学院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820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97.56%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widowControl/>
              <w:jc w:val="center"/>
              <w:rPr>
                <w:rFonts w:ascii="Times New Roman" w:hAnsi="Times New Roman"/>
                <w:b w:val="0"/>
                <w:color w:val="000000"/>
                <w:kern w:val="0"/>
                <w:szCs w:val="21"/>
              </w:rPr>
            </w:pPr>
            <w:r w:rsidRPr="00796003">
              <w:rPr>
                <w:rFonts w:ascii="Times New Roman" w:hAnsi="Times New Roman" w:hint="eastAsia"/>
                <w:b w:val="0"/>
                <w:color w:val="000000"/>
                <w:kern w:val="0"/>
                <w:szCs w:val="21"/>
              </w:rPr>
              <w:t>784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96003">
              <w:rPr>
                <w:rFonts w:ascii="Arial" w:hAnsi="Arial" w:cs="Arial" w:hint="eastAsia"/>
                <w:b w:val="0"/>
                <w:sz w:val="20"/>
                <w:szCs w:val="20"/>
              </w:rPr>
              <w:t>95.61%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9600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98.97%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9600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95.01%</w:t>
            </w:r>
          </w:p>
        </w:tc>
      </w:tr>
      <w:tr w:rsidR="00796003" w:rsidRPr="00FB7B34" w:rsidTr="008C0300">
        <w:trPr>
          <w:trHeight w:val="454"/>
          <w:jc w:val="center"/>
        </w:trPr>
        <w:tc>
          <w:tcPr>
            <w:tcW w:w="21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纺织学院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348</w:t>
            </w:r>
          </w:p>
        </w:tc>
        <w:tc>
          <w:tcPr>
            <w:tcW w:w="7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342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98.28%</w:t>
            </w:r>
          </w:p>
        </w:tc>
        <w:tc>
          <w:tcPr>
            <w:tcW w:w="7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widowControl/>
              <w:jc w:val="center"/>
              <w:rPr>
                <w:rFonts w:ascii="Times New Roman" w:hAnsi="Times New Roman"/>
                <w:b w:val="0"/>
                <w:color w:val="000000"/>
                <w:kern w:val="0"/>
                <w:szCs w:val="21"/>
              </w:rPr>
            </w:pPr>
            <w:r w:rsidRPr="00796003">
              <w:rPr>
                <w:rFonts w:ascii="Times New Roman" w:hAnsi="Times New Roman" w:hint="eastAsia"/>
                <w:b w:val="0"/>
                <w:color w:val="000000"/>
                <w:kern w:val="0"/>
                <w:szCs w:val="21"/>
              </w:rPr>
              <w:t>335</w:t>
            </w:r>
          </w:p>
        </w:tc>
        <w:tc>
          <w:tcPr>
            <w:tcW w:w="95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96003">
              <w:rPr>
                <w:rFonts w:ascii="Arial" w:hAnsi="Arial" w:cs="Arial" w:hint="eastAsia"/>
                <w:b w:val="0"/>
                <w:sz w:val="20"/>
                <w:szCs w:val="20"/>
              </w:rPr>
              <w:t>96.26%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9600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98.90%</w:t>
            </w:r>
          </w:p>
        </w:tc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9600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98.46%</w:t>
            </w:r>
          </w:p>
        </w:tc>
      </w:tr>
      <w:tr w:rsidR="00796003" w:rsidRPr="00FB7B34" w:rsidTr="008C0300">
        <w:trPr>
          <w:trHeight w:val="454"/>
          <w:jc w:val="center"/>
        </w:trPr>
        <w:tc>
          <w:tcPr>
            <w:tcW w:w="21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时装学院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699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687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98.28%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widowControl/>
              <w:jc w:val="center"/>
              <w:rPr>
                <w:rFonts w:ascii="Times New Roman" w:hAnsi="Times New Roman"/>
                <w:b w:val="0"/>
                <w:color w:val="000000"/>
                <w:kern w:val="0"/>
                <w:szCs w:val="21"/>
              </w:rPr>
            </w:pPr>
            <w:r w:rsidRPr="00796003">
              <w:rPr>
                <w:rFonts w:ascii="Times New Roman" w:hAnsi="Times New Roman" w:hint="eastAsia"/>
                <w:b w:val="0"/>
                <w:color w:val="000000"/>
                <w:kern w:val="0"/>
                <w:szCs w:val="21"/>
              </w:rPr>
              <w:t>681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96003">
              <w:rPr>
                <w:rFonts w:ascii="Arial" w:hAnsi="Arial" w:cs="Arial" w:hint="eastAsia"/>
                <w:b w:val="0"/>
                <w:sz w:val="20"/>
                <w:szCs w:val="20"/>
              </w:rPr>
              <w:t>97.42%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9600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96.01%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9600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52.87%</w:t>
            </w:r>
          </w:p>
        </w:tc>
      </w:tr>
      <w:tr w:rsidR="00796003" w:rsidRPr="00FB7B34" w:rsidTr="008C0300">
        <w:trPr>
          <w:trHeight w:val="454"/>
          <w:jc w:val="center"/>
        </w:trPr>
        <w:tc>
          <w:tcPr>
            <w:tcW w:w="21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艺术与设计学院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453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99.56%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widowControl/>
              <w:jc w:val="center"/>
              <w:rPr>
                <w:rFonts w:ascii="Times New Roman" w:hAnsi="Times New Roman"/>
                <w:b w:val="0"/>
                <w:color w:val="000000"/>
                <w:kern w:val="0"/>
                <w:szCs w:val="21"/>
              </w:rPr>
            </w:pPr>
            <w:r w:rsidRPr="00796003">
              <w:rPr>
                <w:rFonts w:ascii="Times New Roman" w:hAnsi="Times New Roman" w:hint="eastAsia"/>
                <w:b w:val="0"/>
                <w:color w:val="000000"/>
                <w:kern w:val="0"/>
                <w:szCs w:val="21"/>
              </w:rPr>
              <w:t>440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96003">
              <w:rPr>
                <w:rFonts w:ascii="Arial" w:hAnsi="Arial" w:cs="Arial" w:hint="eastAsia"/>
                <w:b w:val="0"/>
                <w:sz w:val="20"/>
                <w:szCs w:val="20"/>
              </w:rPr>
              <w:t>96.70%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9600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99.24%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9600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93.15%</w:t>
            </w:r>
          </w:p>
        </w:tc>
      </w:tr>
      <w:tr w:rsidR="00796003" w:rsidRPr="00FB7B34" w:rsidTr="008C0300">
        <w:trPr>
          <w:trHeight w:val="454"/>
          <w:jc w:val="center"/>
        </w:trPr>
        <w:tc>
          <w:tcPr>
            <w:tcW w:w="2115" w:type="dxa"/>
            <w:tcBorders>
              <w:top w:val="single" w:sz="4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信息媒体学院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305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301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98.69%</w:t>
            </w:r>
          </w:p>
        </w:tc>
        <w:tc>
          <w:tcPr>
            <w:tcW w:w="74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widowControl/>
              <w:jc w:val="center"/>
              <w:rPr>
                <w:rFonts w:ascii="Times New Roman" w:hAnsi="Times New Roman"/>
                <w:b w:val="0"/>
                <w:color w:val="000000"/>
                <w:kern w:val="0"/>
                <w:szCs w:val="21"/>
              </w:rPr>
            </w:pPr>
            <w:r w:rsidRPr="00796003">
              <w:rPr>
                <w:rFonts w:ascii="Times New Roman" w:hAnsi="Times New Roman" w:hint="eastAsia"/>
                <w:b w:val="0"/>
                <w:color w:val="000000"/>
                <w:kern w:val="0"/>
                <w:szCs w:val="21"/>
              </w:rPr>
              <w:t>293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96003">
              <w:rPr>
                <w:rFonts w:ascii="Arial" w:hAnsi="Arial" w:cs="Arial" w:hint="eastAsia"/>
                <w:b w:val="0"/>
                <w:sz w:val="20"/>
                <w:szCs w:val="20"/>
              </w:rPr>
              <w:t>96.07%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9600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98.76%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9600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98.76%</w:t>
            </w:r>
          </w:p>
        </w:tc>
      </w:tr>
      <w:tr w:rsidR="00796003" w:rsidRPr="00FB7B34" w:rsidTr="008C0300">
        <w:trPr>
          <w:trHeight w:val="454"/>
          <w:jc w:val="center"/>
        </w:trPr>
        <w:tc>
          <w:tcPr>
            <w:tcW w:w="21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中英时尚设计学院（国际学院）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66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65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98.48%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widowControl/>
              <w:jc w:val="center"/>
              <w:rPr>
                <w:rFonts w:ascii="Times New Roman" w:hAnsi="Times New Roman"/>
                <w:b w:val="0"/>
                <w:color w:val="000000"/>
                <w:kern w:val="0"/>
                <w:szCs w:val="21"/>
              </w:rPr>
            </w:pPr>
            <w:r w:rsidRPr="00796003">
              <w:rPr>
                <w:rFonts w:ascii="Times New Roman" w:hAnsi="Times New Roman" w:hint="eastAsia"/>
                <w:b w:val="0"/>
                <w:color w:val="000000"/>
                <w:kern w:val="0"/>
                <w:szCs w:val="21"/>
              </w:rPr>
              <w:t>64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96003">
              <w:rPr>
                <w:rFonts w:ascii="Arial" w:hAnsi="Arial" w:cs="Arial" w:hint="eastAsia"/>
                <w:b w:val="0"/>
                <w:sz w:val="20"/>
                <w:szCs w:val="20"/>
              </w:rPr>
              <w:t>96.97%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9600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99.07%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9600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96.30%</w:t>
            </w:r>
          </w:p>
        </w:tc>
      </w:tr>
      <w:tr w:rsidR="00796003" w:rsidRPr="00FB7B34" w:rsidTr="008C0300">
        <w:trPr>
          <w:trHeight w:val="454"/>
          <w:jc w:val="center"/>
        </w:trPr>
        <w:tc>
          <w:tcPr>
            <w:tcW w:w="2115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机电与轨道交通学院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455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446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98.02%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widowControl/>
              <w:jc w:val="center"/>
              <w:rPr>
                <w:rFonts w:ascii="Times New Roman" w:hAnsi="Times New Roman"/>
                <w:b w:val="0"/>
                <w:color w:val="000000"/>
                <w:kern w:val="0"/>
                <w:szCs w:val="21"/>
              </w:rPr>
            </w:pPr>
            <w:r w:rsidRPr="00796003">
              <w:rPr>
                <w:rFonts w:ascii="Times New Roman" w:hAnsi="Times New Roman" w:hint="eastAsia"/>
                <w:b w:val="0"/>
                <w:color w:val="000000"/>
                <w:kern w:val="0"/>
                <w:szCs w:val="21"/>
              </w:rPr>
              <w:t>404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sz w:val="20"/>
                <w:szCs w:val="20"/>
              </w:rPr>
            </w:pPr>
            <w:r w:rsidRPr="00796003">
              <w:rPr>
                <w:rFonts w:ascii="Arial" w:hAnsi="Arial" w:cs="Arial" w:hint="eastAsia"/>
                <w:b w:val="0"/>
                <w:sz w:val="20"/>
                <w:szCs w:val="20"/>
              </w:rPr>
              <w:t>88.79%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9600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97.44%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Arial" w:hAnsi="Arial" w:cs="Arial"/>
                <w:b w:val="0"/>
                <w:color w:val="000000"/>
                <w:sz w:val="20"/>
                <w:szCs w:val="20"/>
              </w:rPr>
            </w:pPr>
            <w:r w:rsidRPr="00796003">
              <w:rPr>
                <w:rFonts w:ascii="Arial" w:hAnsi="Arial" w:cs="Arial"/>
                <w:b w:val="0"/>
                <w:color w:val="000000"/>
                <w:sz w:val="20"/>
                <w:szCs w:val="20"/>
              </w:rPr>
              <w:t>97.44%</w:t>
            </w:r>
          </w:p>
        </w:tc>
      </w:tr>
      <w:tr w:rsidR="00796003" w:rsidRPr="00FB7B34" w:rsidTr="008C0300">
        <w:trPr>
          <w:trHeight w:val="454"/>
          <w:jc w:val="center"/>
        </w:trPr>
        <w:tc>
          <w:tcPr>
            <w:tcW w:w="2115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总计：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3148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3094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宋体" w:hAnsi="宋体" w:cs="宋体"/>
                <w:b w:val="0"/>
                <w:color w:val="000000"/>
                <w:sz w:val="22"/>
                <w:szCs w:val="22"/>
              </w:rPr>
            </w:pPr>
            <w:r w:rsidRPr="00796003">
              <w:rPr>
                <w:rFonts w:hint="eastAsia"/>
                <w:b w:val="0"/>
                <w:color w:val="000000"/>
                <w:sz w:val="22"/>
                <w:szCs w:val="22"/>
              </w:rPr>
              <w:t>98.28%</w:t>
            </w:r>
          </w:p>
        </w:tc>
        <w:tc>
          <w:tcPr>
            <w:tcW w:w="744" w:type="dxa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widowControl/>
              <w:jc w:val="center"/>
              <w:rPr>
                <w:rFonts w:ascii="Times New Roman" w:hAnsi="Times New Roman"/>
                <w:b w:val="0"/>
                <w:color w:val="000000"/>
                <w:kern w:val="0"/>
                <w:szCs w:val="21"/>
              </w:rPr>
            </w:pPr>
            <w:r w:rsidRPr="00796003">
              <w:rPr>
                <w:rFonts w:ascii="Times New Roman" w:hAnsi="Times New Roman" w:hint="eastAsia"/>
                <w:b w:val="0"/>
                <w:color w:val="000000"/>
                <w:kern w:val="0"/>
                <w:szCs w:val="21"/>
              </w:rPr>
              <w:t>3001</w:t>
            </w:r>
          </w:p>
        </w:tc>
        <w:tc>
          <w:tcPr>
            <w:tcW w:w="957" w:type="dxa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96003" w:rsidRPr="00796003" w:rsidRDefault="00796003" w:rsidP="00796003">
            <w:pPr>
              <w:widowControl/>
              <w:jc w:val="center"/>
              <w:rPr>
                <w:rFonts w:ascii="Times New Roman" w:hAnsi="Times New Roman"/>
                <w:b w:val="0"/>
                <w:color w:val="000000"/>
                <w:kern w:val="0"/>
                <w:szCs w:val="21"/>
              </w:rPr>
            </w:pPr>
            <w:r w:rsidRPr="00796003">
              <w:rPr>
                <w:rFonts w:ascii="Times New Roman" w:hAnsi="Times New Roman" w:hint="eastAsia"/>
                <w:b w:val="0"/>
                <w:color w:val="000000"/>
                <w:kern w:val="0"/>
                <w:szCs w:val="21"/>
              </w:rPr>
              <w:t>95.33%</w:t>
            </w:r>
          </w:p>
        </w:tc>
        <w:tc>
          <w:tcPr>
            <w:tcW w:w="1062" w:type="dxa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Times New Roman" w:hAnsi="Times New Roman"/>
                <w:b w:val="0"/>
                <w:color w:val="000000"/>
                <w:szCs w:val="21"/>
              </w:rPr>
            </w:pPr>
            <w:r w:rsidRPr="00796003">
              <w:rPr>
                <w:rFonts w:ascii="Times New Roman" w:hAnsi="Times New Roman"/>
                <w:b w:val="0"/>
                <w:color w:val="000000"/>
                <w:szCs w:val="21"/>
              </w:rPr>
              <w:t>98.05%</w:t>
            </w:r>
          </w:p>
        </w:tc>
        <w:tc>
          <w:tcPr>
            <w:tcW w:w="922" w:type="dxa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96003" w:rsidRPr="00796003" w:rsidRDefault="00796003" w:rsidP="00796003">
            <w:pPr>
              <w:jc w:val="center"/>
              <w:rPr>
                <w:rFonts w:ascii="Times New Roman" w:hAnsi="Times New Roman"/>
                <w:b w:val="0"/>
                <w:color w:val="000000"/>
                <w:szCs w:val="21"/>
              </w:rPr>
            </w:pPr>
            <w:r w:rsidRPr="00796003">
              <w:rPr>
                <w:rFonts w:ascii="Times New Roman" w:hAnsi="Times New Roman"/>
                <w:b w:val="0"/>
                <w:color w:val="000000"/>
                <w:szCs w:val="21"/>
              </w:rPr>
              <w:t>84.98%</w:t>
            </w:r>
          </w:p>
        </w:tc>
      </w:tr>
    </w:tbl>
    <w:p w:rsidR="00C04555" w:rsidRPr="00BE3344" w:rsidRDefault="00D74272" w:rsidP="00C04555">
      <w:pPr>
        <w:ind w:firstLineChars="200" w:firstLine="560"/>
        <w:rPr>
          <w:rFonts w:ascii="方正楷体_GBK" w:eastAsia="方正楷体_GBK" w:hAnsi="宋体"/>
          <w:b w:val="0"/>
          <w:color w:val="000000"/>
          <w:sz w:val="28"/>
        </w:rPr>
      </w:pPr>
      <w:r w:rsidRPr="00BE3344">
        <w:rPr>
          <w:rFonts w:ascii="方正楷体_GBK" w:eastAsia="方正楷体_GBK" w:hAnsi="宋体" w:hint="eastAsia"/>
          <w:b w:val="0"/>
          <w:color w:val="000000"/>
          <w:sz w:val="28"/>
        </w:rPr>
        <w:t>全院就业率始终保持在95%以上且连续四年保持增长态势。</w:t>
      </w:r>
    </w:p>
    <w:p w:rsidR="00D74272" w:rsidRPr="00BE3344" w:rsidRDefault="00BE3344" w:rsidP="00B26680">
      <w:pPr>
        <w:pStyle w:val="3"/>
        <w:rPr>
          <w:rFonts w:ascii="方正楷体_GBK" w:eastAsia="方正楷体_GBK" w:hAnsi="宋体"/>
          <w:b w:val="0"/>
          <w:color w:val="000000"/>
          <w:sz w:val="28"/>
        </w:rPr>
      </w:pPr>
      <w:r w:rsidRPr="00BE3344">
        <w:rPr>
          <w:rFonts w:ascii="方正楷体_GBK" w:eastAsia="方正楷体_GBK" w:hAnsi="宋体" w:hint="eastAsia"/>
          <w:b w:val="0"/>
          <w:color w:val="000000"/>
          <w:sz w:val="28"/>
        </w:rPr>
        <w:t>2、</w:t>
      </w:r>
      <w:r w:rsidR="00D74272" w:rsidRPr="00BE3344">
        <w:rPr>
          <w:rFonts w:ascii="方正楷体_GBK" w:eastAsia="方正楷体_GBK" w:hAnsi="宋体" w:hint="eastAsia"/>
          <w:b w:val="0"/>
          <w:color w:val="000000"/>
          <w:sz w:val="28"/>
        </w:rPr>
        <w:t>各专业（中类）</w:t>
      </w:r>
      <w:r w:rsidR="00E02578" w:rsidRPr="00BE3344">
        <w:rPr>
          <w:rFonts w:ascii="方正楷体_GBK" w:eastAsia="方正楷体_GBK" w:hAnsi="宋体" w:hint="eastAsia"/>
          <w:b w:val="0"/>
          <w:color w:val="000000"/>
          <w:sz w:val="28"/>
        </w:rPr>
        <w:t>毕业生</w:t>
      </w:r>
      <w:r w:rsidR="00D74272" w:rsidRPr="00BE3344">
        <w:rPr>
          <w:rFonts w:ascii="方正楷体_GBK" w:eastAsia="方正楷体_GBK" w:hAnsi="宋体" w:hint="eastAsia"/>
          <w:b w:val="0"/>
          <w:color w:val="000000"/>
          <w:sz w:val="28"/>
        </w:rPr>
        <w:t>就业率</w:t>
      </w:r>
    </w:p>
    <w:tbl>
      <w:tblPr>
        <w:tblW w:w="653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14"/>
        <w:gridCol w:w="1079"/>
        <w:gridCol w:w="1468"/>
        <w:gridCol w:w="1577"/>
      </w:tblGrid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Cs w:val="21"/>
              </w:rPr>
            </w:pPr>
            <w:r w:rsidRPr="00BE3344">
              <w:rPr>
                <w:rFonts w:ascii="宋体" w:hAnsi="宋体" w:cs="宋体" w:hint="eastAsia"/>
                <w:color w:val="333333"/>
                <w:kern w:val="0"/>
                <w:szCs w:val="21"/>
              </w:rPr>
              <w:t>各专业（中类）就业率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color w:val="333333"/>
                <w:kern w:val="0"/>
                <w:szCs w:val="21"/>
              </w:rPr>
              <w:t>毕业人数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color w:val="333333"/>
                <w:kern w:val="0"/>
                <w:szCs w:val="21"/>
              </w:rPr>
              <w:t>就业人数</w:t>
            </w:r>
          </w:p>
        </w:tc>
        <w:tc>
          <w:tcPr>
            <w:tcW w:w="1577" w:type="dxa"/>
            <w:shd w:val="clear" w:color="auto" w:fill="auto"/>
            <w:noWrap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BE3344">
              <w:rPr>
                <w:rFonts w:ascii="宋体" w:hAnsi="宋体" w:cs="宋体" w:hint="eastAsia"/>
                <w:color w:val="000000"/>
                <w:kern w:val="0"/>
                <w:szCs w:val="21"/>
              </w:rPr>
              <w:t>就业率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合计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3148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3094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98.28%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5302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化工技术类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100.00%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5601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建筑设计类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100.00%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5801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机械设计制造类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146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143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97.95%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5802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自动化类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265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259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97.74%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5901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计算机类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112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111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99.11%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5902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电子信息类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44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100.00%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6101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轻化工类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53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51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96.23%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6102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纺织服装类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901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888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98.56%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6104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包装印刷类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36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100.00%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6201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财政金融类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58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56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96.55%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6202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财务会计类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173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171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98.84%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6203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经济贸易类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84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78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92.86%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6204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市场营销类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165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162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98.18%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6205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工商管理类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197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194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98.48%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6601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语言文化类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143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139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97.20%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6701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艺术设计类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572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563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98.43%</w:t>
            </w:r>
          </w:p>
        </w:tc>
      </w:tr>
      <w:tr w:rsidR="00D74272" w:rsidRPr="00D74272" w:rsidTr="00BE3344">
        <w:trPr>
          <w:trHeight w:hRule="exact" w:val="454"/>
          <w:jc w:val="center"/>
        </w:trPr>
        <w:tc>
          <w:tcPr>
            <w:tcW w:w="2414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6702</w:t>
            </w: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表演艺术类</w:t>
            </w:r>
          </w:p>
        </w:tc>
        <w:tc>
          <w:tcPr>
            <w:tcW w:w="1079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167</w:t>
            </w:r>
          </w:p>
        </w:tc>
        <w:tc>
          <w:tcPr>
            <w:tcW w:w="1468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167</w:t>
            </w:r>
          </w:p>
        </w:tc>
        <w:tc>
          <w:tcPr>
            <w:tcW w:w="1577" w:type="dxa"/>
            <w:shd w:val="clear" w:color="auto" w:fill="auto"/>
            <w:vAlign w:val="center"/>
            <w:hideMark/>
          </w:tcPr>
          <w:p w:rsidR="00D74272" w:rsidRPr="00BE3344" w:rsidRDefault="00D74272" w:rsidP="00D74272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</w:pPr>
            <w:r w:rsidRPr="00BE3344">
              <w:rPr>
                <w:rFonts w:ascii="Arial" w:hAnsi="Arial" w:cs="Arial"/>
                <w:b w:val="0"/>
                <w:color w:val="333333"/>
                <w:kern w:val="0"/>
                <w:szCs w:val="21"/>
              </w:rPr>
              <w:t>100.00%</w:t>
            </w:r>
          </w:p>
        </w:tc>
      </w:tr>
    </w:tbl>
    <w:p w:rsidR="00D74272" w:rsidRPr="00BE3344" w:rsidRDefault="00D74272" w:rsidP="00371045">
      <w:pPr>
        <w:ind w:firstLine="570"/>
        <w:rPr>
          <w:rFonts w:ascii="方正楷体_GBK" w:eastAsia="方正楷体_GBK" w:hAnsi="Arial" w:cs="Arial"/>
          <w:b w:val="0"/>
          <w:color w:val="333333"/>
          <w:kern w:val="0"/>
          <w:sz w:val="28"/>
          <w:szCs w:val="28"/>
        </w:rPr>
      </w:pPr>
      <w:r w:rsidRPr="00BE3344">
        <w:rPr>
          <w:rFonts w:ascii="方正楷体_GBK" w:eastAsia="方正楷体_GBK" w:hAnsi="宋体" w:hint="eastAsia"/>
          <w:b w:val="0"/>
          <w:color w:val="000000"/>
          <w:sz w:val="28"/>
          <w:szCs w:val="28"/>
        </w:rPr>
        <w:t>数据显示：</w:t>
      </w:r>
      <w:r w:rsidR="0033335B" w:rsidRPr="00BE3344">
        <w:rPr>
          <w:rFonts w:ascii="方正楷体_GBK" w:eastAsia="方正楷体_GBK" w:hAnsi="Arial" w:cs="Arial" w:hint="eastAsia"/>
          <w:b w:val="0"/>
          <w:color w:val="333333"/>
          <w:kern w:val="0"/>
          <w:sz w:val="28"/>
          <w:szCs w:val="28"/>
        </w:rPr>
        <w:t>化工技术类、建筑设计类、电子信息类、包装印刷类、表演艺术类整体就业率最高，达到100%；经济贸易类最低，仅为92.86%。</w:t>
      </w:r>
    </w:p>
    <w:p w:rsidR="00371045" w:rsidRPr="00BE3344" w:rsidRDefault="00BE3344" w:rsidP="00B26680">
      <w:pPr>
        <w:pStyle w:val="3"/>
        <w:rPr>
          <w:rFonts w:ascii="方正楷体_GBK" w:eastAsia="方正楷体_GBK" w:hAnsi="黑体" w:cs="Arial"/>
          <w:b w:val="0"/>
          <w:color w:val="333333"/>
          <w:kern w:val="0"/>
          <w:sz w:val="28"/>
          <w:szCs w:val="28"/>
        </w:rPr>
      </w:pPr>
      <w:r>
        <w:rPr>
          <w:rFonts w:ascii="方正楷体_GBK" w:eastAsia="方正楷体_GBK" w:hAnsi="黑体" w:cs="Arial" w:hint="eastAsia"/>
          <w:b w:val="0"/>
          <w:color w:val="333333"/>
          <w:kern w:val="0"/>
          <w:sz w:val="28"/>
          <w:szCs w:val="28"/>
        </w:rPr>
        <w:t>3</w:t>
      </w:r>
      <w:r w:rsidR="00371045" w:rsidRPr="00BE3344">
        <w:rPr>
          <w:rFonts w:ascii="方正楷体_GBK" w:eastAsia="方正楷体_GBK" w:hAnsi="黑体" w:cs="Arial" w:hint="eastAsia"/>
          <w:b w:val="0"/>
          <w:color w:val="333333"/>
          <w:kern w:val="0"/>
          <w:sz w:val="28"/>
          <w:szCs w:val="28"/>
        </w:rPr>
        <w:t>、各生源地（省）</w:t>
      </w:r>
      <w:r w:rsidR="00E02578" w:rsidRPr="00BE3344">
        <w:rPr>
          <w:rFonts w:ascii="方正楷体_GBK" w:eastAsia="方正楷体_GBK" w:hAnsi="黑体" w:cs="Arial" w:hint="eastAsia"/>
          <w:b w:val="0"/>
          <w:color w:val="333333"/>
          <w:kern w:val="0"/>
          <w:sz w:val="28"/>
          <w:szCs w:val="28"/>
        </w:rPr>
        <w:t>毕业生</w:t>
      </w:r>
      <w:r w:rsidR="00371045" w:rsidRPr="00BE3344">
        <w:rPr>
          <w:rFonts w:ascii="方正楷体_GBK" w:eastAsia="方正楷体_GBK" w:hAnsi="黑体" w:cs="Arial" w:hint="eastAsia"/>
          <w:b w:val="0"/>
          <w:color w:val="333333"/>
          <w:kern w:val="0"/>
          <w:sz w:val="28"/>
          <w:szCs w:val="28"/>
        </w:rPr>
        <w:t>就业</w:t>
      </w:r>
      <w:r w:rsidR="00E02578" w:rsidRPr="00BE3344">
        <w:rPr>
          <w:rFonts w:ascii="方正楷体_GBK" w:eastAsia="方正楷体_GBK" w:hAnsi="黑体" w:cs="Arial" w:hint="eastAsia"/>
          <w:b w:val="0"/>
          <w:color w:val="333333"/>
          <w:kern w:val="0"/>
          <w:sz w:val="28"/>
          <w:szCs w:val="28"/>
        </w:rPr>
        <w:t>情况</w:t>
      </w:r>
    </w:p>
    <w:tbl>
      <w:tblPr>
        <w:tblW w:w="6701" w:type="dxa"/>
        <w:jc w:val="center"/>
        <w:tblLook w:val="04A0"/>
      </w:tblPr>
      <w:tblGrid>
        <w:gridCol w:w="2412"/>
        <w:gridCol w:w="1394"/>
        <w:gridCol w:w="1269"/>
        <w:gridCol w:w="1626"/>
      </w:tblGrid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宋体" w:hAnsi="宋体" w:cs="宋体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宋体" w:hAnsi="宋体" w:cs="宋体" w:hint="eastAsia"/>
                <w:color w:val="333333"/>
                <w:kern w:val="0"/>
                <w:sz w:val="22"/>
                <w:szCs w:val="22"/>
              </w:rPr>
              <w:t>各生源地（省）就业率</w:t>
            </w:r>
          </w:p>
        </w:tc>
        <w:tc>
          <w:tcPr>
            <w:tcW w:w="139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毕业人数</w:t>
            </w:r>
          </w:p>
        </w:tc>
        <w:tc>
          <w:tcPr>
            <w:tcW w:w="12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color w:val="333333"/>
                <w:kern w:val="0"/>
                <w:sz w:val="22"/>
                <w:szCs w:val="22"/>
              </w:rPr>
              <w:t>就业人数</w:t>
            </w:r>
          </w:p>
        </w:tc>
        <w:tc>
          <w:tcPr>
            <w:tcW w:w="1626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 w:rsidRPr="00371045">
              <w:rPr>
                <w:rFonts w:ascii="宋体" w:hAnsi="宋体" w:cs="宋体" w:hint="eastAsia"/>
                <w:color w:val="000000"/>
                <w:kern w:val="0"/>
                <w:sz w:val="22"/>
                <w:szCs w:val="22"/>
              </w:rPr>
              <w:t>就业率 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合计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3148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3094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98.28%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山西省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100.00%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上海市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100.00%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江苏省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100.00%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浙江省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2963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2913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98.31%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安徽省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90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88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97.78%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福建省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100.00%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江西省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100.00%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山东省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100.00%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河南省</w:t>
            </w:r>
          </w:p>
        </w:tc>
        <w:tc>
          <w:tcPr>
            <w:tcW w:w="1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4</w:t>
            </w:r>
          </w:p>
        </w:tc>
        <w:tc>
          <w:tcPr>
            <w:tcW w:w="1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4</w:t>
            </w:r>
          </w:p>
        </w:tc>
        <w:tc>
          <w:tcPr>
            <w:tcW w:w="162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100.00%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湖北省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100.00%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湖南省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100.00%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广东省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87.50%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广西壮族自治区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7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7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100.00%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海南省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92.31%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重庆市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5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5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100.00%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四川省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8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8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100.00%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贵州省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100.00%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云南省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100.00%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陕西省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2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100.00%</w:t>
            </w:r>
          </w:p>
        </w:tc>
      </w:tr>
      <w:tr w:rsidR="00371045" w:rsidRPr="00371045" w:rsidTr="00BE3344">
        <w:trPr>
          <w:trHeight w:hRule="exact" w:val="454"/>
          <w:jc w:val="center"/>
        </w:trPr>
        <w:tc>
          <w:tcPr>
            <w:tcW w:w="2412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371045">
            <w:pPr>
              <w:widowControl/>
              <w:jc w:val="left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甘肃省</w:t>
            </w:r>
          </w:p>
        </w:tc>
        <w:tc>
          <w:tcPr>
            <w:tcW w:w="1394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13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13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371045" w:rsidRPr="00371045" w:rsidRDefault="00371045" w:rsidP="00BE3344">
            <w:pPr>
              <w:widowControl/>
              <w:jc w:val="center"/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</w:pPr>
            <w:r w:rsidRPr="00371045">
              <w:rPr>
                <w:rFonts w:ascii="Arial" w:hAnsi="Arial" w:cs="Arial"/>
                <w:b w:val="0"/>
                <w:color w:val="333333"/>
                <w:kern w:val="0"/>
                <w:sz w:val="22"/>
                <w:szCs w:val="22"/>
              </w:rPr>
              <w:t>100.00%</w:t>
            </w:r>
          </w:p>
        </w:tc>
      </w:tr>
    </w:tbl>
    <w:p w:rsidR="006703CB" w:rsidRPr="00161DAB" w:rsidRDefault="006703CB" w:rsidP="006703CB">
      <w:pPr>
        <w:ind w:firstLine="555"/>
        <w:rPr>
          <w:rFonts w:ascii="方正楷体_GBK" w:eastAsia="方正楷体_GBK" w:hAnsi="宋体"/>
          <w:b w:val="0"/>
          <w:color w:val="000000"/>
          <w:sz w:val="28"/>
          <w:szCs w:val="28"/>
        </w:rPr>
      </w:pPr>
      <w:r w:rsidRPr="00161DAB">
        <w:rPr>
          <w:rFonts w:ascii="方正楷体_GBK" w:eastAsia="方正楷体_GBK" w:hAnsi="宋体" w:hint="eastAsia"/>
          <w:b w:val="0"/>
          <w:color w:val="000000"/>
          <w:sz w:val="28"/>
          <w:szCs w:val="28"/>
        </w:rPr>
        <w:t>数据显示：绝大部分省外生源毕业生实现100%就业。</w:t>
      </w:r>
      <w:r>
        <w:rPr>
          <w:rFonts w:ascii="方正楷体_GBK" w:eastAsia="方正楷体_GBK" w:hAnsi="宋体" w:hint="eastAsia"/>
          <w:b w:val="0"/>
          <w:color w:val="000000"/>
          <w:sz w:val="28"/>
          <w:szCs w:val="28"/>
        </w:rPr>
        <w:t>省外生源仅四人未就业。</w:t>
      </w:r>
    </w:p>
    <w:p w:rsidR="003A1B9A" w:rsidRPr="008C0300" w:rsidRDefault="00BE3344" w:rsidP="008C0300">
      <w:pPr>
        <w:pStyle w:val="3"/>
        <w:rPr>
          <w:rFonts w:ascii="方正楷体_GBK" w:eastAsia="方正楷体_GBK"/>
          <w:b w:val="0"/>
        </w:rPr>
      </w:pPr>
      <w:r w:rsidRPr="008C0300">
        <w:rPr>
          <w:rFonts w:ascii="方正楷体_GBK" w:eastAsia="方正楷体_GBK" w:hint="eastAsia"/>
          <w:b w:val="0"/>
        </w:rPr>
        <w:t>4</w:t>
      </w:r>
      <w:r w:rsidR="003A1B9A" w:rsidRPr="008C0300">
        <w:rPr>
          <w:rFonts w:ascii="方正楷体_GBK" w:eastAsia="方正楷体_GBK" w:hint="eastAsia"/>
          <w:b w:val="0"/>
        </w:rPr>
        <w:t>、</w:t>
      </w:r>
      <w:r w:rsidR="00EF54BE" w:rsidRPr="008C0300">
        <w:rPr>
          <w:rFonts w:ascii="方正楷体_GBK" w:eastAsia="方正楷体_GBK" w:hint="eastAsia"/>
          <w:b w:val="0"/>
        </w:rPr>
        <w:t>毕业生就业单位性质分布</w:t>
      </w:r>
    </w:p>
    <w:p w:rsidR="00EF54BE" w:rsidRPr="00BE3344" w:rsidRDefault="00EF54BE" w:rsidP="003A1B9A">
      <w:pPr>
        <w:rPr>
          <w:rFonts w:ascii="方正楷体_GBK" w:eastAsia="方正楷体_GBK" w:hAnsi="宋体"/>
          <w:b w:val="0"/>
          <w:color w:val="000000"/>
          <w:sz w:val="28"/>
          <w:szCs w:val="28"/>
        </w:rPr>
      </w:pPr>
      <w:r>
        <w:rPr>
          <w:rFonts w:ascii="Times New Roman" w:hAnsi="宋体" w:hint="eastAsia"/>
          <w:color w:val="000000"/>
          <w:sz w:val="28"/>
          <w:szCs w:val="28"/>
        </w:rPr>
        <w:t xml:space="preserve">   </w:t>
      </w:r>
      <w:r w:rsidRPr="00BE3344">
        <w:rPr>
          <w:rFonts w:ascii="方正楷体_GBK" w:eastAsia="方正楷体_GBK" w:hAnsi="宋体" w:hint="eastAsia"/>
          <w:color w:val="000000"/>
          <w:sz w:val="28"/>
          <w:szCs w:val="28"/>
        </w:rPr>
        <w:t xml:space="preserve"> </w:t>
      </w:r>
      <w:r w:rsidRPr="00BE3344">
        <w:rPr>
          <w:rFonts w:ascii="方正楷体_GBK" w:eastAsia="方正楷体_GBK" w:hAnsi="宋体" w:hint="eastAsia"/>
          <w:b w:val="0"/>
          <w:color w:val="000000"/>
          <w:sz w:val="28"/>
          <w:szCs w:val="28"/>
        </w:rPr>
        <w:t>2017届毕业生就业单位与往年一样主要以各类中小企业为主，占91.9%。除此以外，国有企业、三资企业及其他性质单位比例</w:t>
      </w:r>
      <w:r w:rsidR="008C0300">
        <w:rPr>
          <w:rFonts w:ascii="方正楷体_GBK" w:eastAsia="方正楷体_GBK" w:hAnsi="宋体" w:hint="eastAsia"/>
          <w:b w:val="0"/>
          <w:color w:val="000000"/>
          <w:sz w:val="28"/>
          <w:szCs w:val="28"/>
        </w:rPr>
        <w:t>靠前。中初教育单位、其他事业单位、机关、城镇社区等单位均有分布，具体分布情况如下图：</w:t>
      </w:r>
    </w:p>
    <w:p w:rsidR="00EF54BE" w:rsidRDefault="000404E3" w:rsidP="00EF54BE">
      <w:pPr>
        <w:jc w:val="center"/>
        <w:rPr>
          <w:rFonts w:ascii="Times New Roman" w:hAnsi="宋体"/>
          <w:b w:val="0"/>
          <w:noProof/>
          <w:color w:val="000000"/>
          <w:sz w:val="28"/>
          <w:szCs w:val="28"/>
        </w:rPr>
      </w:pPr>
      <w:r>
        <w:rPr>
          <w:rFonts w:ascii="Times New Roman" w:hAnsi="宋体"/>
          <w:b w:val="0"/>
          <w:noProof/>
          <w:color w:val="000000"/>
          <w:sz w:val="28"/>
          <w:szCs w:val="28"/>
        </w:rPr>
        <w:drawing>
          <wp:inline distT="0" distB="0" distL="0" distR="0">
            <wp:extent cx="4572762" cy="2746629"/>
            <wp:effectExtent l="12192" t="6096" r="6096" b="0"/>
            <wp:docPr id="3" name="图表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F3CFA" w:rsidRPr="008C0300" w:rsidRDefault="008C0300" w:rsidP="008C0300">
      <w:pPr>
        <w:pStyle w:val="3"/>
        <w:rPr>
          <w:rFonts w:ascii="方正楷体_GBK" w:eastAsia="方正楷体_GBK" w:hAnsi="黑体"/>
          <w:b w:val="0"/>
          <w:color w:val="000000"/>
          <w:sz w:val="28"/>
        </w:rPr>
      </w:pPr>
      <w:r w:rsidRPr="008C0300">
        <w:rPr>
          <w:rFonts w:ascii="方正楷体_GBK" w:eastAsia="方正楷体_GBK" w:hAnsi="黑体" w:hint="eastAsia"/>
          <w:b w:val="0"/>
          <w:color w:val="000000"/>
          <w:sz w:val="28"/>
        </w:rPr>
        <w:t>5</w:t>
      </w:r>
      <w:r w:rsidR="00B26680" w:rsidRPr="008C0300">
        <w:rPr>
          <w:rFonts w:ascii="方正楷体_GBK" w:eastAsia="方正楷体_GBK" w:hAnsi="黑体" w:hint="eastAsia"/>
          <w:b w:val="0"/>
          <w:color w:val="000000"/>
          <w:sz w:val="28"/>
        </w:rPr>
        <w:t>、</w:t>
      </w:r>
      <w:r w:rsidR="0057797F" w:rsidRPr="008C0300">
        <w:rPr>
          <w:rFonts w:ascii="方正楷体_GBK" w:eastAsia="方正楷体_GBK" w:hAnsi="黑体" w:hint="eastAsia"/>
          <w:b w:val="0"/>
          <w:color w:val="000000"/>
          <w:sz w:val="28"/>
        </w:rPr>
        <w:t>毕业生</w:t>
      </w:r>
      <w:r w:rsidR="00E02578" w:rsidRPr="008C0300">
        <w:rPr>
          <w:rFonts w:ascii="方正楷体_GBK" w:eastAsia="方正楷体_GBK" w:hAnsi="黑体" w:hint="eastAsia"/>
          <w:b w:val="0"/>
          <w:color w:val="000000"/>
          <w:sz w:val="28"/>
        </w:rPr>
        <w:t>就业地区分布</w:t>
      </w:r>
    </w:p>
    <w:p w:rsidR="0057797F" w:rsidRDefault="000404E3" w:rsidP="00FE2B13">
      <w:pPr>
        <w:jc w:val="center"/>
        <w:rPr>
          <w:rFonts w:ascii="Times New Roman" w:hAnsi="Times New Roman"/>
          <w:b w:val="0"/>
          <w:noProof/>
          <w:color w:val="000000"/>
          <w:sz w:val="28"/>
        </w:rPr>
      </w:pPr>
      <w:r>
        <w:rPr>
          <w:rFonts w:ascii="Times New Roman" w:hAnsi="Times New Roman"/>
          <w:b w:val="0"/>
          <w:noProof/>
          <w:color w:val="000000"/>
          <w:sz w:val="28"/>
        </w:rPr>
        <w:drawing>
          <wp:inline distT="0" distB="0" distL="0" distR="0">
            <wp:extent cx="4572762" cy="2746629"/>
            <wp:effectExtent l="12192" t="6096" r="6096" b="0"/>
            <wp:docPr id="4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B6283" w:rsidRPr="008C0300" w:rsidRDefault="00BB6283" w:rsidP="0057797F">
      <w:pPr>
        <w:rPr>
          <w:rFonts w:ascii="方正楷体_GBK" w:eastAsia="方正楷体_GBK" w:hAnsi="宋体"/>
          <w:color w:val="000000"/>
          <w:sz w:val="28"/>
        </w:rPr>
      </w:pPr>
      <w:r>
        <w:rPr>
          <w:rFonts w:ascii="Times New Roman" w:hAnsi="Times New Roman" w:hint="eastAsia"/>
          <w:b w:val="0"/>
          <w:noProof/>
          <w:color w:val="000000"/>
          <w:sz w:val="28"/>
        </w:rPr>
        <w:t xml:space="preserve">   </w:t>
      </w:r>
      <w:r w:rsidRPr="008C0300">
        <w:rPr>
          <w:rFonts w:ascii="方正楷体_GBK" w:eastAsia="方正楷体_GBK" w:hAnsi="Times New Roman" w:hint="eastAsia"/>
          <w:b w:val="0"/>
          <w:noProof/>
          <w:color w:val="000000"/>
          <w:sz w:val="28"/>
        </w:rPr>
        <w:t xml:space="preserve"> 如上图所示，2016届毕业生就业区域分布延续了往年的同一情况，</w:t>
      </w:r>
      <w:r w:rsidR="00FE2B13" w:rsidRPr="008C0300">
        <w:rPr>
          <w:rFonts w:ascii="方正楷体_GBK" w:eastAsia="方正楷体_GBK" w:hAnsi="Times New Roman" w:hint="eastAsia"/>
          <w:b w:val="0"/>
          <w:noProof/>
          <w:color w:val="000000"/>
          <w:sz w:val="28"/>
        </w:rPr>
        <w:t>50.33%已就业</w:t>
      </w:r>
      <w:r w:rsidRPr="008C0300">
        <w:rPr>
          <w:rFonts w:ascii="方正楷体_GBK" w:eastAsia="方正楷体_GBK" w:hAnsi="Times New Roman" w:hint="eastAsia"/>
          <w:b w:val="0"/>
          <w:noProof/>
          <w:color w:val="000000"/>
          <w:sz w:val="28"/>
        </w:rPr>
        <w:t>毕业生选择在省内宁波地区就业，</w:t>
      </w:r>
      <w:r w:rsidR="00FE2B13" w:rsidRPr="008C0300">
        <w:rPr>
          <w:rFonts w:ascii="方正楷体_GBK" w:eastAsia="方正楷体_GBK" w:hAnsi="Times New Roman" w:hint="eastAsia"/>
          <w:b w:val="0"/>
          <w:noProof/>
          <w:color w:val="000000"/>
          <w:sz w:val="28"/>
        </w:rPr>
        <w:t>比例高于去年。与往年一样，省内</w:t>
      </w:r>
      <w:r w:rsidRPr="008C0300">
        <w:rPr>
          <w:rFonts w:ascii="方正楷体_GBK" w:eastAsia="方正楷体_GBK" w:hAnsi="Times New Roman" w:hint="eastAsia"/>
          <w:b w:val="0"/>
          <w:noProof/>
          <w:color w:val="000000"/>
          <w:sz w:val="28"/>
        </w:rPr>
        <w:t>其他地区就业人数较多的依次是杭州、</w:t>
      </w:r>
      <w:r w:rsidR="00FE2B13" w:rsidRPr="008C0300">
        <w:rPr>
          <w:rFonts w:ascii="方正楷体_GBK" w:eastAsia="方正楷体_GBK" w:hAnsi="Times New Roman" w:hint="eastAsia"/>
          <w:b w:val="0"/>
          <w:noProof/>
          <w:color w:val="000000"/>
          <w:sz w:val="28"/>
        </w:rPr>
        <w:t>温州、嘉兴。经济发达程度是毕业生就业</w:t>
      </w:r>
      <w:r w:rsidR="00FE2B13" w:rsidRPr="008C0300">
        <w:rPr>
          <w:rFonts w:ascii="方正楷体_GBK" w:eastAsia="方正楷体_GBK" w:hAnsi="宋体" w:hint="eastAsia"/>
          <w:b w:val="0"/>
          <w:color w:val="000000"/>
          <w:sz w:val="28"/>
        </w:rPr>
        <w:t>的重要考量因素。</w:t>
      </w:r>
    </w:p>
    <w:p w:rsidR="00EF7346" w:rsidRPr="008C0300" w:rsidRDefault="008C0300" w:rsidP="00B26680">
      <w:pPr>
        <w:pStyle w:val="3"/>
        <w:rPr>
          <w:rFonts w:ascii="方正楷体_GBK" w:eastAsia="方正楷体_GBK" w:hAnsi="Times New Roman"/>
          <w:b w:val="0"/>
          <w:color w:val="000000"/>
          <w:sz w:val="28"/>
        </w:rPr>
      </w:pPr>
      <w:r w:rsidRPr="008C0300">
        <w:rPr>
          <w:rFonts w:ascii="方正楷体_GBK" w:eastAsia="方正楷体_GBK" w:hAnsi="Times New Roman" w:hint="eastAsia"/>
          <w:b w:val="0"/>
          <w:color w:val="000000"/>
          <w:sz w:val="28"/>
        </w:rPr>
        <w:t>6</w:t>
      </w:r>
      <w:r w:rsidR="00B26680" w:rsidRPr="008C0300">
        <w:rPr>
          <w:rFonts w:ascii="方正楷体_GBK" w:eastAsia="方正楷体_GBK" w:hAnsi="Times New Roman" w:hint="eastAsia"/>
          <w:b w:val="0"/>
          <w:color w:val="000000"/>
          <w:sz w:val="28"/>
        </w:rPr>
        <w:t>、</w:t>
      </w:r>
      <w:r w:rsidR="00FE2B13" w:rsidRPr="008C0300">
        <w:rPr>
          <w:rFonts w:ascii="方正楷体_GBK" w:eastAsia="方正楷体_GBK" w:hAnsi="Times New Roman" w:hint="eastAsia"/>
          <w:b w:val="0"/>
          <w:color w:val="000000"/>
          <w:sz w:val="28"/>
        </w:rPr>
        <w:t>毕业生就业行业分布</w:t>
      </w:r>
    </w:p>
    <w:tbl>
      <w:tblPr>
        <w:tblW w:w="568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65"/>
        <w:gridCol w:w="1323"/>
        <w:gridCol w:w="992"/>
      </w:tblGrid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Cs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Cs w:val="21"/>
              </w:rPr>
              <w:t>就业行业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Cs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Cs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Cs/>
                <w:color w:val="000000"/>
                <w:kern w:val="0"/>
                <w:szCs w:val="21"/>
              </w:rPr>
              <w:t>比例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制造业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1078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37.80%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批发和零售业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477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16.73%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信息传输、软件和信息技术服务业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269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9.43%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文化、体育和娱乐业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252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8.84%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居民服务、修理和其他服务业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149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5.22%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租赁和商务服务业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4.56%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交通运输、仓储和邮政业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92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3.23%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教育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86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3.02%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建筑业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70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2.45%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金融业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54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1.89%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住宿和餐饮业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48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1.68%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科学研究和技术服务业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40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1.40%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房地产业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0.98%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卫生和社会工作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0.70%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公共管理、社会保障和社会组织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0.70%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电力、热力、燃气及水生产和供应业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0.67%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农、林、牧、渔业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0.32%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水利、环境和公共设施管理业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9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0.32%</w:t>
            </w:r>
          </w:p>
        </w:tc>
      </w:tr>
      <w:tr w:rsidR="00165DEE" w:rsidRPr="008C0300" w:rsidTr="008C0300">
        <w:trPr>
          <w:trHeight w:hRule="exact" w:val="397"/>
          <w:jc w:val="center"/>
        </w:trPr>
        <w:tc>
          <w:tcPr>
            <w:tcW w:w="3365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采矿业</w:t>
            </w:r>
          </w:p>
        </w:tc>
        <w:tc>
          <w:tcPr>
            <w:tcW w:w="1323" w:type="dxa"/>
            <w:shd w:val="clear" w:color="auto" w:fill="auto"/>
            <w:vAlign w:val="center"/>
            <w:hideMark/>
          </w:tcPr>
          <w:p w:rsidR="00165DEE" w:rsidRPr="008C0300" w:rsidRDefault="00165DEE" w:rsidP="00165DEE">
            <w:pPr>
              <w:widowControl/>
              <w:jc w:val="center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2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165DEE" w:rsidRPr="008C0300" w:rsidRDefault="00165DEE" w:rsidP="00165DEE">
            <w:pPr>
              <w:widowControl/>
              <w:jc w:val="left"/>
              <w:rPr>
                <w:rFonts w:ascii="方正楷体_GBK" w:eastAsia="方正楷体_GBK" w:hAnsi="宋体" w:cs="宋体"/>
                <w:b w:val="0"/>
                <w:color w:val="000000"/>
                <w:kern w:val="0"/>
                <w:szCs w:val="21"/>
              </w:rPr>
            </w:pPr>
            <w:r w:rsidRPr="008C0300">
              <w:rPr>
                <w:rFonts w:ascii="方正楷体_GBK" w:eastAsia="方正楷体_GBK" w:hAnsi="宋体" w:cs="宋体" w:hint="eastAsia"/>
                <w:b w:val="0"/>
                <w:color w:val="000000"/>
                <w:kern w:val="0"/>
                <w:szCs w:val="21"/>
              </w:rPr>
              <w:t>0.07%</w:t>
            </w:r>
          </w:p>
        </w:tc>
      </w:tr>
    </w:tbl>
    <w:p w:rsidR="0002139C" w:rsidRPr="008C0300" w:rsidRDefault="00BB6283" w:rsidP="00FC6F7D">
      <w:pPr>
        <w:ind w:firstLine="570"/>
        <w:rPr>
          <w:rFonts w:ascii="方正楷体_GBK" w:eastAsia="方正楷体_GBK" w:hAnsi="Times New Roman"/>
          <w:b w:val="0"/>
          <w:color w:val="000000"/>
          <w:sz w:val="28"/>
        </w:rPr>
      </w:pPr>
      <w:r w:rsidRPr="008C0300">
        <w:rPr>
          <w:rFonts w:ascii="方正楷体_GBK" w:eastAsia="方正楷体_GBK" w:hAnsi="Times New Roman" w:hint="eastAsia"/>
          <w:b w:val="0"/>
          <w:color w:val="000000"/>
          <w:sz w:val="28"/>
        </w:rPr>
        <w:t>201</w:t>
      </w:r>
      <w:r w:rsidR="008C0300" w:rsidRPr="008C0300">
        <w:rPr>
          <w:rFonts w:ascii="方正楷体_GBK" w:eastAsia="方正楷体_GBK" w:hAnsi="Times New Roman" w:hint="eastAsia"/>
          <w:b w:val="0"/>
          <w:color w:val="000000"/>
          <w:sz w:val="28"/>
        </w:rPr>
        <w:t>7</w:t>
      </w:r>
      <w:r w:rsidRPr="008C0300">
        <w:rPr>
          <w:rFonts w:ascii="方正楷体_GBK" w:eastAsia="方正楷体_GBK" w:hAnsi="Times New Roman" w:hint="eastAsia"/>
          <w:b w:val="0"/>
          <w:color w:val="000000"/>
          <w:sz w:val="28"/>
        </w:rPr>
        <w:t>届毕业生就业单位以中小微企业为主，</w:t>
      </w:r>
      <w:r w:rsidR="00E25A45" w:rsidRPr="008C0300">
        <w:rPr>
          <w:rFonts w:ascii="方正楷体_GBK" w:eastAsia="方正楷体_GBK" w:hAnsi="Times New Roman" w:hint="eastAsia"/>
          <w:b w:val="0"/>
          <w:color w:val="000000"/>
          <w:sz w:val="28"/>
        </w:rPr>
        <w:t>从行业分布来看，制造业稳居首位，占比37.8%；其次为批发和零售业，占比16.73%；信息传输、软件和信息技术服务业紧跟其后，占比9.43%。行业分布与专业培养目标匹配度较高。</w:t>
      </w:r>
    </w:p>
    <w:p w:rsidR="00FC6F7D" w:rsidRPr="008C0300" w:rsidRDefault="008C0300" w:rsidP="00B26680">
      <w:pPr>
        <w:pStyle w:val="3"/>
        <w:rPr>
          <w:rFonts w:ascii="方正楷体_GBK" w:eastAsia="方正楷体_GBK" w:hAnsi="Times New Roman"/>
          <w:b w:val="0"/>
          <w:color w:val="000000"/>
          <w:sz w:val="28"/>
        </w:rPr>
      </w:pPr>
      <w:r w:rsidRPr="008C0300">
        <w:rPr>
          <w:rFonts w:ascii="方正楷体_GBK" w:eastAsia="方正楷体_GBK" w:hAnsi="Times New Roman" w:hint="eastAsia"/>
          <w:b w:val="0"/>
          <w:color w:val="000000"/>
          <w:sz w:val="28"/>
        </w:rPr>
        <w:t>7</w:t>
      </w:r>
      <w:r w:rsidR="00B26680" w:rsidRPr="008C0300">
        <w:rPr>
          <w:rFonts w:ascii="方正楷体_GBK" w:eastAsia="方正楷体_GBK" w:hAnsi="Times New Roman" w:hint="eastAsia"/>
          <w:b w:val="0"/>
          <w:color w:val="000000"/>
          <w:sz w:val="28"/>
        </w:rPr>
        <w:t>、</w:t>
      </w:r>
      <w:r w:rsidR="00FC6F7D" w:rsidRPr="008C0300">
        <w:rPr>
          <w:rFonts w:ascii="方正楷体_GBK" w:eastAsia="方正楷体_GBK" w:hAnsi="Times New Roman" w:hint="eastAsia"/>
          <w:b w:val="0"/>
          <w:color w:val="000000"/>
          <w:sz w:val="28"/>
        </w:rPr>
        <w:t>毕业生就业职业类型分布</w:t>
      </w:r>
    </w:p>
    <w:p w:rsidR="00FC6F7D" w:rsidRDefault="000404E3" w:rsidP="00FC6F7D">
      <w:pPr>
        <w:jc w:val="center"/>
        <w:rPr>
          <w:rFonts w:ascii="Times New Roman" w:hAnsi="Times New Roman"/>
          <w:b w:val="0"/>
          <w:noProof/>
          <w:color w:val="000000"/>
          <w:sz w:val="28"/>
        </w:rPr>
      </w:pPr>
      <w:r>
        <w:rPr>
          <w:rFonts w:ascii="Times New Roman" w:hAnsi="Times New Roman"/>
          <w:b w:val="0"/>
          <w:noProof/>
          <w:color w:val="000000"/>
          <w:sz w:val="28"/>
        </w:rPr>
        <w:drawing>
          <wp:inline distT="0" distB="0" distL="0" distR="0">
            <wp:extent cx="5259321" cy="3470785"/>
            <wp:effectExtent l="11686" t="5840" r="5843" b="0"/>
            <wp:docPr id="5" name="图表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5053D6" w:rsidRPr="00FC6F7D" w:rsidRDefault="005053D6" w:rsidP="00FC6F7D">
      <w:pPr>
        <w:jc w:val="center"/>
        <w:rPr>
          <w:rFonts w:ascii="Times New Roman" w:hAnsi="Times New Roman"/>
          <w:b w:val="0"/>
          <w:color w:val="000000"/>
          <w:sz w:val="28"/>
        </w:rPr>
      </w:pPr>
    </w:p>
    <w:p w:rsidR="00D6486C" w:rsidRPr="008C0300" w:rsidRDefault="008C0300" w:rsidP="008C0300">
      <w:pPr>
        <w:pStyle w:val="3"/>
        <w:rPr>
          <w:rFonts w:ascii="方正楷体_GBK" w:eastAsia="方正楷体_GBK"/>
          <w:b w:val="0"/>
          <w:sz w:val="28"/>
          <w:szCs w:val="28"/>
        </w:rPr>
      </w:pPr>
      <w:r w:rsidRPr="008C0300">
        <w:rPr>
          <w:rFonts w:ascii="方正楷体_GBK" w:eastAsia="方正楷体_GBK" w:hint="eastAsia"/>
          <w:b w:val="0"/>
          <w:sz w:val="28"/>
          <w:szCs w:val="28"/>
        </w:rPr>
        <w:t>8</w:t>
      </w:r>
      <w:r w:rsidR="00B26680" w:rsidRPr="008C0300">
        <w:rPr>
          <w:rFonts w:ascii="方正楷体_GBK" w:eastAsia="方正楷体_GBK" w:hint="eastAsia"/>
          <w:b w:val="0"/>
          <w:sz w:val="28"/>
          <w:szCs w:val="28"/>
        </w:rPr>
        <w:t>、</w:t>
      </w:r>
      <w:r w:rsidR="00E25A45" w:rsidRPr="008C0300">
        <w:rPr>
          <w:rFonts w:ascii="方正楷体_GBK" w:eastAsia="方正楷体_GBK" w:hint="eastAsia"/>
          <w:b w:val="0"/>
          <w:sz w:val="28"/>
          <w:szCs w:val="28"/>
        </w:rPr>
        <w:t>困难学生就业情况</w:t>
      </w:r>
    </w:p>
    <w:p w:rsidR="00D6486C" w:rsidRPr="008C0300" w:rsidRDefault="00D6486C" w:rsidP="00D6486C">
      <w:pPr>
        <w:rPr>
          <w:rFonts w:ascii="方正楷体_GBK" w:eastAsia="方正楷体_GBK" w:hAnsi="Times New Roman"/>
          <w:color w:val="000000"/>
          <w:sz w:val="28"/>
        </w:rPr>
      </w:pPr>
      <w:r w:rsidRPr="008C0300">
        <w:rPr>
          <w:rFonts w:ascii="方正楷体_GBK" w:eastAsia="方正楷体_GBK" w:hAnsi="Times New Roman" w:hint="eastAsia"/>
          <w:color w:val="000000"/>
          <w:sz w:val="28"/>
        </w:rPr>
        <w:t xml:space="preserve">    </w:t>
      </w:r>
      <w:r w:rsidR="00174275" w:rsidRPr="008C0300">
        <w:rPr>
          <w:rFonts w:ascii="方正楷体_GBK" w:eastAsia="方正楷体_GBK" w:hAnsi="宋体" w:hint="eastAsia"/>
          <w:b w:val="0"/>
          <w:color w:val="000000"/>
          <w:sz w:val="28"/>
          <w:szCs w:val="28"/>
        </w:rPr>
        <w:t>本年度上报困难生数共计238人，233人实现就业，就业率97.9%。</w:t>
      </w:r>
    </w:p>
    <w:p w:rsidR="0002139C" w:rsidRPr="008C0300" w:rsidRDefault="008C0300" w:rsidP="008C0300">
      <w:pPr>
        <w:pStyle w:val="3"/>
        <w:rPr>
          <w:rFonts w:ascii="方正楷体_GBK" w:eastAsia="方正楷体_GBK"/>
          <w:b w:val="0"/>
          <w:sz w:val="28"/>
          <w:szCs w:val="28"/>
        </w:rPr>
      </w:pPr>
      <w:r w:rsidRPr="008C0300">
        <w:rPr>
          <w:rFonts w:ascii="方正楷体_GBK" w:eastAsia="方正楷体_GBK" w:hAnsi="黑体" w:hint="eastAsia"/>
          <w:b w:val="0"/>
          <w:noProof/>
          <w:sz w:val="28"/>
          <w:szCs w:val="28"/>
        </w:rPr>
        <w:t>9</w:t>
      </w:r>
      <w:r w:rsidR="00B26680" w:rsidRPr="008C0300">
        <w:rPr>
          <w:rFonts w:ascii="方正楷体_GBK" w:eastAsia="方正楷体_GBK" w:hAnsi="黑体" w:hint="eastAsia"/>
          <w:b w:val="0"/>
          <w:noProof/>
          <w:sz w:val="28"/>
          <w:szCs w:val="28"/>
        </w:rPr>
        <w:t>、</w:t>
      </w:r>
      <w:r w:rsidR="0002139C" w:rsidRPr="008C0300">
        <w:rPr>
          <w:rFonts w:ascii="方正楷体_GBK" w:eastAsia="方正楷体_GBK" w:hint="eastAsia"/>
          <w:b w:val="0"/>
          <w:sz w:val="28"/>
          <w:szCs w:val="28"/>
        </w:rPr>
        <w:t>毕业生创业基本情况</w:t>
      </w:r>
    </w:p>
    <w:p w:rsidR="0002139C" w:rsidRPr="008C0300" w:rsidRDefault="0002139C" w:rsidP="001B498F">
      <w:pPr>
        <w:pStyle w:val="p0"/>
        <w:spacing w:line="360" w:lineRule="auto"/>
        <w:ind w:firstLineChars="196" w:firstLine="549"/>
        <w:rPr>
          <w:rFonts w:ascii="方正楷体_GBK" w:eastAsia="方正楷体_GBK" w:hAnsi="宋体" w:cs="Times New Roman"/>
          <w:color w:val="000000"/>
          <w:sz w:val="28"/>
          <w:szCs w:val="28"/>
        </w:rPr>
      </w:pPr>
      <w:r w:rsidRPr="008C0300">
        <w:rPr>
          <w:rFonts w:ascii="方正楷体_GBK" w:eastAsia="方正楷体_GBK" w:hAnsi="宋体" w:cs="Times New Roman" w:hint="eastAsia"/>
          <w:b w:val="0"/>
          <w:color w:val="000000"/>
          <w:sz w:val="28"/>
          <w:szCs w:val="28"/>
        </w:rPr>
        <w:t>初次就业毕业生中，</w:t>
      </w:r>
      <w:r w:rsidR="00174275" w:rsidRPr="008C0300">
        <w:rPr>
          <w:rFonts w:ascii="方正楷体_GBK" w:eastAsia="方正楷体_GBK" w:hAnsi="宋体" w:cs="Times New Roman" w:hint="eastAsia"/>
          <w:b w:val="0"/>
          <w:color w:val="000000"/>
          <w:sz w:val="28"/>
          <w:szCs w:val="28"/>
        </w:rPr>
        <w:t>12</w:t>
      </w:r>
      <w:r w:rsidRPr="008C0300">
        <w:rPr>
          <w:rFonts w:ascii="方正楷体_GBK" w:eastAsia="方正楷体_GBK" w:hAnsi="宋体" w:cs="Times New Roman" w:hint="eastAsia"/>
          <w:b w:val="0"/>
          <w:color w:val="000000"/>
          <w:sz w:val="28"/>
          <w:szCs w:val="28"/>
        </w:rPr>
        <w:t>人为自主创业，</w:t>
      </w:r>
      <w:r w:rsidRPr="008C0300">
        <w:rPr>
          <w:rFonts w:ascii="方正楷体_GBK" w:eastAsia="方正楷体_GBK" w:hAnsi="宋体" w:hint="eastAsia"/>
          <w:b w:val="0"/>
          <w:color w:val="000000"/>
          <w:sz w:val="28"/>
          <w:szCs w:val="28"/>
        </w:rPr>
        <w:t>占比</w:t>
      </w:r>
      <w:r w:rsidR="00174275" w:rsidRPr="008C0300">
        <w:rPr>
          <w:rFonts w:ascii="方正楷体_GBK" w:eastAsia="方正楷体_GBK" w:hAnsi="宋体" w:hint="eastAsia"/>
          <w:b w:val="0"/>
          <w:color w:val="000000"/>
          <w:sz w:val="28"/>
          <w:szCs w:val="28"/>
        </w:rPr>
        <w:t>0.38</w:t>
      </w:r>
      <w:r w:rsidRPr="008C0300">
        <w:rPr>
          <w:rFonts w:ascii="方正楷体_GBK" w:eastAsia="方正楷体_GBK" w:hAnsi="宋体" w:hint="eastAsia"/>
          <w:b w:val="0"/>
          <w:color w:val="000000"/>
          <w:sz w:val="28"/>
          <w:szCs w:val="28"/>
        </w:rPr>
        <w:t>%</w:t>
      </w:r>
      <w:r w:rsidR="00174275" w:rsidRPr="008C0300">
        <w:rPr>
          <w:rFonts w:ascii="方正楷体_GBK" w:eastAsia="方正楷体_GBK" w:hAnsi="宋体" w:hint="eastAsia"/>
          <w:b w:val="0"/>
          <w:color w:val="000000"/>
          <w:sz w:val="28"/>
          <w:szCs w:val="28"/>
        </w:rPr>
        <w:t>，略高于2016年。区别于去年网店占据半壁江山的情况，今年的创业均以实体形式出现，涉及批发零售、文化创意、信息技术等行业。</w:t>
      </w:r>
    </w:p>
    <w:p w:rsidR="008C0300" w:rsidRDefault="008C0300" w:rsidP="00B26680">
      <w:pPr>
        <w:pStyle w:val="p0"/>
        <w:spacing w:line="312" w:lineRule="auto"/>
        <w:outlineLvl w:val="0"/>
        <w:rPr>
          <w:rFonts w:ascii="黑体" w:eastAsia="黑体" w:hAnsi="黑体" w:cs="Times New Roman"/>
          <w:b w:val="0"/>
          <w:color w:val="000000"/>
          <w:sz w:val="32"/>
          <w:szCs w:val="32"/>
        </w:rPr>
      </w:pPr>
    </w:p>
    <w:p w:rsidR="0004665D" w:rsidRPr="008C0300" w:rsidRDefault="0004665D" w:rsidP="008C0300">
      <w:pPr>
        <w:pStyle w:val="1"/>
        <w:rPr>
          <w:rFonts w:ascii="黑体" w:eastAsia="黑体" w:hAnsi="黑体"/>
          <w:sz w:val="32"/>
          <w:szCs w:val="32"/>
        </w:rPr>
      </w:pPr>
      <w:r w:rsidRPr="008C0300">
        <w:rPr>
          <w:rFonts w:ascii="黑体" w:eastAsia="黑体" w:hAnsi="黑体"/>
          <w:sz w:val="32"/>
          <w:szCs w:val="32"/>
        </w:rPr>
        <w:t>二、201</w:t>
      </w:r>
      <w:r w:rsidR="001B498F" w:rsidRPr="008C0300">
        <w:rPr>
          <w:rFonts w:ascii="黑体" w:eastAsia="黑体" w:hAnsi="黑体" w:hint="eastAsia"/>
          <w:sz w:val="32"/>
          <w:szCs w:val="32"/>
        </w:rPr>
        <w:t>7</w:t>
      </w:r>
      <w:r w:rsidRPr="008C0300">
        <w:rPr>
          <w:rFonts w:ascii="黑体" w:eastAsia="黑体" w:hAnsi="黑体"/>
          <w:sz w:val="32"/>
          <w:szCs w:val="32"/>
        </w:rPr>
        <w:t>届毕业生就业</w:t>
      </w:r>
      <w:r w:rsidR="00A652C3" w:rsidRPr="008C0300">
        <w:rPr>
          <w:rFonts w:ascii="黑体" w:eastAsia="黑体" w:hAnsi="黑体" w:hint="eastAsia"/>
          <w:sz w:val="32"/>
          <w:szCs w:val="32"/>
        </w:rPr>
        <w:t>工作开展情况</w:t>
      </w:r>
    </w:p>
    <w:p w:rsidR="00F152DB" w:rsidRPr="008C0300" w:rsidRDefault="0002139C" w:rsidP="00B26680">
      <w:pPr>
        <w:pStyle w:val="2"/>
        <w:rPr>
          <w:rFonts w:ascii="黑体" w:eastAsia="黑体" w:hAnsi="黑体"/>
          <w:b w:val="0"/>
          <w:color w:val="000000"/>
          <w:sz w:val="28"/>
          <w:szCs w:val="28"/>
        </w:rPr>
      </w:pPr>
      <w:r w:rsidRPr="008C0300">
        <w:rPr>
          <w:rFonts w:ascii="黑体" w:eastAsia="黑体" w:hAnsi="黑体" w:hint="eastAsia"/>
          <w:b w:val="0"/>
          <w:color w:val="000000"/>
          <w:sz w:val="28"/>
          <w:szCs w:val="28"/>
        </w:rPr>
        <w:t>（</w:t>
      </w:r>
      <w:r w:rsidR="001B498F" w:rsidRPr="008C0300">
        <w:rPr>
          <w:rFonts w:ascii="黑体" w:eastAsia="黑体" w:hAnsi="黑体" w:hint="eastAsia"/>
          <w:b w:val="0"/>
          <w:color w:val="000000"/>
          <w:sz w:val="28"/>
          <w:szCs w:val="28"/>
        </w:rPr>
        <w:t>一</w:t>
      </w:r>
      <w:r w:rsidRPr="008C0300">
        <w:rPr>
          <w:rFonts w:ascii="黑体" w:eastAsia="黑体" w:hAnsi="黑体" w:hint="eastAsia"/>
          <w:b w:val="0"/>
          <w:color w:val="000000"/>
          <w:sz w:val="28"/>
          <w:szCs w:val="28"/>
        </w:rPr>
        <w:t>）</w:t>
      </w:r>
      <w:r w:rsidR="00F152DB" w:rsidRPr="008C0300">
        <w:rPr>
          <w:rFonts w:ascii="黑体" w:eastAsia="黑体" w:hAnsi="黑体" w:hint="eastAsia"/>
          <w:b w:val="0"/>
          <w:color w:val="000000"/>
          <w:sz w:val="28"/>
          <w:szCs w:val="28"/>
        </w:rPr>
        <w:t>以服务为宗旨，提升就业工作满意</w:t>
      </w:r>
      <w:r w:rsidR="00866866" w:rsidRPr="008C0300">
        <w:rPr>
          <w:rFonts w:ascii="黑体" w:eastAsia="黑体" w:hAnsi="黑体" w:hint="eastAsia"/>
          <w:b w:val="0"/>
          <w:color w:val="000000"/>
          <w:sz w:val="28"/>
          <w:szCs w:val="28"/>
        </w:rPr>
        <w:t>度</w:t>
      </w:r>
    </w:p>
    <w:p w:rsidR="00F152DB" w:rsidRPr="00573052" w:rsidRDefault="00F152DB" w:rsidP="0002139C">
      <w:pPr>
        <w:widowControl/>
        <w:spacing w:line="360" w:lineRule="auto"/>
        <w:jc w:val="left"/>
        <w:rPr>
          <w:rFonts w:ascii="方正楷体_GBK" w:eastAsia="方正楷体_GBK" w:hAnsi="宋体"/>
          <w:b w:val="0"/>
          <w:color w:val="000000"/>
          <w:sz w:val="28"/>
          <w:szCs w:val="28"/>
        </w:rPr>
      </w:pPr>
      <w:r w:rsidRPr="00573052">
        <w:rPr>
          <w:rFonts w:ascii="方正楷体_GBK" w:eastAsia="方正楷体_GBK" w:hAnsi="宋体" w:hint="eastAsia"/>
          <w:b w:val="0"/>
          <w:color w:val="000000"/>
          <w:sz w:val="28"/>
          <w:szCs w:val="28"/>
        </w:rPr>
        <w:t xml:space="preserve">    2017年，学院继续以“提升就业服务满意度”为目标，全方位做好毕业生就业工作。</w:t>
      </w:r>
    </w:p>
    <w:p w:rsidR="00700C32" w:rsidRDefault="0002139C" w:rsidP="00700C32">
      <w:pPr>
        <w:pStyle w:val="3"/>
        <w:rPr>
          <w:rFonts w:ascii="方正楷体_GBK" w:eastAsia="方正楷体_GBK" w:hAnsi="宋体"/>
          <w:b w:val="0"/>
          <w:kern w:val="0"/>
          <w:sz w:val="28"/>
          <w:szCs w:val="28"/>
        </w:rPr>
      </w:pPr>
      <w:r w:rsidRPr="00573052">
        <w:rPr>
          <w:rFonts w:ascii="方正楷体_GBK" w:eastAsia="方正楷体_GBK" w:hAnsi="Times New Roman" w:hint="eastAsia"/>
          <w:b w:val="0"/>
          <w:kern w:val="0"/>
          <w:sz w:val="28"/>
          <w:szCs w:val="28"/>
        </w:rPr>
        <w:t>1</w:t>
      </w:r>
      <w:r w:rsidRPr="00573052">
        <w:rPr>
          <w:rFonts w:ascii="方正楷体_GBK" w:eastAsia="方正楷体_GBK" w:hAnsi="宋体" w:hint="eastAsia"/>
          <w:b w:val="0"/>
          <w:kern w:val="0"/>
          <w:sz w:val="28"/>
          <w:szCs w:val="28"/>
        </w:rPr>
        <w:t>、</w:t>
      </w:r>
      <w:r w:rsidR="00F152DB" w:rsidRPr="00573052">
        <w:rPr>
          <w:rFonts w:ascii="方正楷体_GBK" w:eastAsia="方正楷体_GBK" w:hAnsi="宋体" w:hint="eastAsia"/>
          <w:b w:val="0"/>
          <w:kern w:val="0"/>
          <w:sz w:val="28"/>
          <w:szCs w:val="28"/>
        </w:rPr>
        <w:t>持续加强网络平台建设，充实平台内容，拓宽平台功能。</w:t>
      </w:r>
    </w:p>
    <w:p w:rsidR="002D14A6" w:rsidRPr="00573052" w:rsidRDefault="00F152DB" w:rsidP="002D14A6">
      <w:pPr>
        <w:widowControl/>
        <w:spacing w:line="360" w:lineRule="auto"/>
        <w:ind w:firstLineChars="200" w:firstLine="560"/>
        <w:jc w:val="left"/>
        <w:rPr>
          <w:rFonts w:ascii="方正楷体_GBK" w:eastAsia="方正楷体_GBK" w:hAnsi="宋体"/>
          <w:b w:val="0"/>
          <w:kern w:val="0"/>
          <w:sz w:val="28"/>
          <w:szCs w:val="28"/>
        </w:rPr>
      </w:pPr>
      <w:r w:rsidRPr="00573052">
        <w:rPr>
          <w:rFonts w:ascii="方正楷体_GBK" w:eastAsia="方正楷体_GBK" w:hAnsi="宋体" w:hint="eastAsia"/>
          <w:b w:val="0"/>
          <w:kern w:val="0"/>
          <w:sz w:val="28"/>
          <w:szCs w:val="28"/>
        </w:rPr>
        <w:t>2017年改版了学院就业网，正式开通了就业APP</w:t>
      </w:r>
      <w:r w:rsidR="00937E5F" w:rsidRPr="00573052">
        <w:rPr>
          <w:rFonts w:ascii="方正楷体_GBK" w:eastAsia="方正楷体_GBK" w:hAnsi="宋体" w:hint="eastAsia"/>
          <w:b w:val="0"/>
          <w:kern w:val="0"/>
          <w:sz w:val="28"/>
          <w:szCs w:val="28"/>
        </w:rPr>
        <w:t>。通过就业网、就业微信平台、二级学院就业微信群等</w:t>
      </w:r>
      <w:r w:rsidR="002D14A6" w:rsidRPr="00573052">
        <w:rPr>
          <w:rFonts w:ascii="方正楷体_GBK" w:eastAsia="方正楷体_GBK" w:hAnsi="宋体" w:hint="eastAsia"/>
          <w:b w:val="0"/>
          <w:kern w:val="0"/>
          <w:sz w:val="28"/>
          <w:szCs w:val="28"/>
        </w:rPr>
        <w:t>。目前就业网站注册企业424家，发布需求信息2168条，定向推送就业信息666条，发布新闻通知77条。</w:t>
      </w:r>
    </w:p>
    <w:p w:rsidR="002D14A6" w:rsidRPr="00573052" w:rsidRDefault="002D14A6" w:rsidP="0002139C">
      <w:pPr>
        <w:widowControl/>
        <w:spacing w:line="360" w:lineRule="auto"/>
        <w:ind w:firstLineChars="200" w:firstLine="560"/>
        <w:jc w:val="left"/>
        <w:rPr>
          <w:rFonts w:ascii="方正楷体_GBK" w:eastAsia="方正楷体_GBK" w:hAnsi="宋体"/>
          <w:b w:val="0"/>
          <w:kern w:val="0"/>
          <w:sz w:val="28"/>
          <w:szCs w:val="28"/>
        </w:rPr>
      </w:pPr>
      <w:r w:rsidRPr="00573052">
        <w:rPr>
          <w:rFonts w:ascii="方正楷体_GBK" w:eastAsia="方正楷体_GBK" w:hAnsi="宋体" w:hint="eastAsia"/>
          <w:b w:val="0"/>
          <w:kern w:val="0"/>
          <w:sz w:val="28"/>
          <w:szCs w:val="28"/>
        </w:rPr>
        <w:t>微信平台是就业日常信息推送的重要工具。2017年学院通过推送比赛信息、就业活动信息、招聘信息、毕业生就业注意事项、离校后注意事项、各类求职补助办理通知等，</w:t>
      </w:r>
      <w:r w:rsidR="00937E5F" w:rsidRPr="00573052">
        <w:rPr>
          <w:rFonts w:ascii="方正楷体_GBK" w:eastAsia="方正楷体_GBK" w:hAnsi="宋体" w:hint="eastAsia"/>
          <w:b w:val="0"/>
          <w:kern w:val="0"/>
          <w:sz w:val="28"/>
          <w:szCs w:val="28"/>
        </w:rPr>
        <w:t>加强了与学生、用人单位之间的信息交流</w:t>
      </w:r>
      <w:r w:rsidRPr="00573052">
        <w:rPr>
          <w:rFonts w:ascii="方正楷体_GBK" w:eastAsia="方正楷体_GBK" w:hAnsi="宋体" w:hint="eastAsia"/>
          <w:b w:val="0"/>
          <w:kern w:val="0"/>
          <w:sz w:val="28"/>
          <w:szCs w:val="28"/>
        </w:rPr>
        <w:t>。</w:t>
      </w:r>
    </w:p>
    <w:p w:rsidR="00700C32" w:rsidRDefault="000E7579" w:rsidP="00700C32">
      <w:pPr>
        <w:pStyle w:val="3"/>
        <w:rPr>
          <w:rFonts w:ascii="方正楷体_GBK" w:eastAsia="方正楷体_GBK" w:hAnsi="宋体"/>
          <w:b w:val="0"/>
          <w:kern w:val="0"/>
          <w:sz w:val="28"/>
          <w:szCs w:val="28"/>
        </w:rPr>
      </w:pPr>
      <w:r w:rsidRPr="00573052">
        <w:rPr>
          <w:rFonts w:ascii="方正楷体_GBK" w:eastAsia="方正楷体_GBK" w:hAnsi="宋体" w:hint="eastAsia"/>
          <w:b w:val="0"/>
          <w:kern w:val="0"/>
          <w:sz w:val="28"/>
          <w:szCs w:val="28"/>
        </w:rPr>
        <w:t>2、</w:t>
      </w:r>
      <w:r w:rsidR="0002139C" w:rsidRPr="00573052">
        <w:rPr>
          <w:rFonts w:ascii="方正楷体_GBK" w:eastAsia="方正楷体_GBK" w:hAnsi="宋体" w:hint="eastAsia"/>
          <w:b w:val="0"/>
          <w:kern w:val="0"/>
          <w:sz w:val="28"/>
          <w:szCs w:val="28"/>
        </w:rPr>
        <w:t>举办各类招聘会、宣讲会等。</w:t>
      </w:r>
    </w:p>
    <w:p w:rsidR="000E7579" w:rsidRPr="00573052" w:rsidRDefault="0002139C" w:rsidP="000E7579">
      <w:pPr>
        <w:widowControl/>
        <w:spacing w:before="157" w:after="100" w:afterAutospacing="1" w:line="470" w:lineRule="atLeast"/>
        <w:ind w:firstLineChars="200" w:firstLine="560"/>
        <w:jc w:val="left"/>
        <w:rPr>
          <w:rFonts w:ascii="方正楷体_GBK" w:eastAsia="方正楷体_GBK" w:hAnsi="宋体"/>
          <w:b w:val="0"/>
          <w:color w:val="000000"/>
          <w:kern w:val="0"/>
          <w:sz w:val="28"/>
          <w:szCs w:val="28"/>
        </w:rPr>
      </w:pPr>
      <w:r w:rsidRPr="00573052">
        <w:rPr>
          <w:rFonts w:ascii="方正楷体_GBK" w:eastAsia="方正楷体_GBK" w:hAnsi="宋体" w:hint="eastAsia"/>
          <w:b w:val="0"/>
          <w:kern w:val="0"/>
          <w:sz w:val="28"/>
          <w:szCs w:val="28"/>
        </w:rPr>
        <w:t>针对201</w:t>
      </w:r>
      <w:r w:rsidR="002D14A6" w:rsidRPr="00573052">
        <w:rPr>
          <w:rFonts w:ascii="方正楷体_GBK" w:eastAsia="方正楷体_GBK" w:hAnsi="宋体" w:hint="eastAsia"/>
          <w:b w:val="0"/>
          <w:kern w:val="0"/>
          <w:sz w:val="28"/>
          <w:szCs w:val="28"/>
        </w:rPr>
        <w:t>7</w:t>
      </w:r>
      <w:r w:rsidRPr="00573052">
        <w:rPr>
          <w:rFonts w:ascii="方正楷体_GBK" w:eastAsia="方正楷体_GBK" w:hAnsi="宋体" w:hint="eastAsia"/>
          <w:b w:val="0"/>
          <w:kern w:val="0"/>
          <w:sz w:val="28"/>
          <w:szCs w:val="28"/>
        </w:rPr>
        <w:t>届毕业生召开的各类</w:t>
      </w:r>
      <w:r w:rsidR="000E7579" w:rsidRPr="00573052">
        <w:rPr>
          <w:rFonts w:ascii="方正楷体_GBK" w:eastAsia="方正楷体_GBK" w:hAnsi="宋体" w:hint="eastAsia"/>
          <w:b w:val="0"/>
          <w:kern w:val="0"/>
          <w:sz w:val="28"/>
          <w:szCs w:val="28"/>
        </w:rPr>
        <w:t>大型招聘会3</w:t>
      </w:r>
      <w:r w:rsidR="009A329B" w:rsidRPr="00573052">
        <w:rPr>
          <w:rFonts w:ascii="方正楷体_GBK" w:eastAsia="方正楷体_GBK" w:hAnsi="宋体" w:hint="eastAsia"/>
          <w:b w:val="0"/>
          <w:kern w:val="0"/>
          <w:sz w:val="28"/>
          <w:szCs w:val="28"/>
        </w:rPr>
        <w:t>场，</w:t>
      </w:r>
      <w:r w:rsidR="000E7579" w:rsidRPr="00573052">
        <w:rPr>
          <w:rFonts w:ascii="方正楷体_GBK" w:eastAsia="方正楷体_GBK" w:hAnsi="宋体" w:hint="eastAsia"/>
          <w:b w:val="0"/>
          <w:kern w:val="0"/>
          <w:sz w:val="28"/>
          <w:szCs w:val="28"/>
        </w:rPr>
        <w:t>参会单位376家，岗位数量1530个。小型招聘会89次，单位数量1068家，岗位数量5340个。用人单位宣讲会75次，用人单位数量79家，提供岗位数量395个。增加了毕业生择业、就业的机会，为进一步提高毕业生就业质量奠定了基础。</w:t>
      </w:r>
    </w:p>
    <w:p w:rsidR="00700C32" w:rsidRDefault="00B26680" w:rsidP="00700C32">
      <w:pPr>
        <w:pStyle w:val="3"/>
        <w:rPr>
          <w:rFonts w:ascii="方正楷体_GBK" w:eastAsia="方正楷体_GBK" w:hAnsi="宋体"/>
          <w:b w:val="0"/>
          <w:sz w:val="28"/>
          <w:szCs w:val="28"/>
        </w:rPr>
      </w:pPr>
      <w:r w:rsidRPr="00573052">
        <w:rPr>
          <w:rFonts w:ascii="方正楷体_GBK" w:eastAsia="方正楷体_GBK" w:hAnsi="宋体" w:hint="eastAsia"/>
          <w:b w:val="0"/>
          <w:sz w:val="28"/>
          <w:szCs w:val="28"/>
        </w:rPr>
        <w:t>3、</w:t>
      </w:r>
      <w:r w:rsidR="0002139C" w:rsidRPr="00573052">
        <w:rPr>
          <w:rFonts w:ascii="方正楷体_GBK" w:eastAsia="方正楷体_GBK" w:hAnsi="宋体" w:hint="eastAsia"/>
          <w:b w:val="0"/>
          <w:sz w:val="28"/>
          <w:szCs w:val="28"/>
        </w:rPr>
        <w:t>加强日常就业服务，</w:t>
      </w:r>
      <w:r w:rsidR="00907436" w:rsidRPr="00573052">
        <w:rPr>
          <w:rFonts w:ascii="方正楷体_GBK" w:eastAsia="方正楷体_GBK" w:hAnsi="宋体" w:hint="eastAsia"/>
          <w:b w:val="0"/>
          <w:sz w:val="28"/>
          <w:szCs w:val="28"/>
        </w:rPr>
        <w:t>始终以毕业生满意为就业工作目标，切实通过优化程序、微笑服务、跟踪回访等方式做好日常就业服务工作。</w:t>
      </w:r>
    </w:p>
    <w:p w:rsidR="0002139C" w:rsidRPr="00573052" w:rsidRDefault="00866866" w:rsidP="008C0300">
      <w:pPr>
        <w:widowControl/>
        <w:spacing w:before="157" w:after="100" w:afterAutospacing="1" w:line="470" w:lineRule="atLeast"/>
        <w:ind w:firstLineChars="200" w:firstLine="560"/>
        <w:jc w:val="left"/>
        <w:rPr>
          <w:rFonts w:ascii="方正楷体_GBK" w:eastAsia="方正楷体_GBK" w:hAnsi="宋体" w:cs="宋体"/>
          <w:b w:val="0"/>
          <w:kern w:val="0"/>
          <w:sz w:val="28"/>
          <w:szCs w:val="28"/>
        </w:rPr>
      </w:pPr>
      <w:r w:rsidRPr="00573052">
        <w:rPr>
          <w:rFonts w:ascii="方正楷体_GBK" w:eastAsia="方正楷体_GBK" w:hAnsi="宋体" w:hint="eastAsia"/>
          <w:b w:val="0"/>
          <w:sz w:val="28"/>
          <w:szCs w:val="28"/>
        </w:rPr>
        <w:t>本年度毕业生就业问题解决率为100%，特别是暑假期间，报到证遗失补办、就业协议遗失、报到手续咨询、往届毕业生档案查询等均为即时回复，且一般</w:t>
      </w:r>
      <w:r w:rsidR="00192BAA" w:rsidRPr="00573052">
        <w:rPr>
          <w:rFonts w:ascii="方正楷体_GBK" w:eastAsia="方正楷体_GBK" w:hAnsi="宋体" w:hint="eastAsia"/>
          <w:b w:val="0"/>
          <w:sz w:val="28"/>
          <w:szCs w:val="28"/>
        </w:rPr>
        <w:t>现场</w:t>
      </w:r>
      <w:r w:rsidR="00EA73AF" w:rsidRPr="00573052">
        <w:rPr>
          <w:rFonts w:ascii="方正楷体_GBK" w:eastAsia="方正楷体_GBK" w:hAnsi="宋体" w:hint="eastAsia"/>
          <w:b w:val="0"/>
          <w:sz w:val="28"/>
          <w:szCs w:val="28"/>
        </w:rPr>
        <w:t>即到即办，电话办理</w:t>
      </w:r>
      <w:r w:rsidRPr="00573052">
        <w:rPr>
          <w:rFonts w:ascii="方正楷体_GBK" w:eastAsia="方正楷体_GBK" w:hAnsi="宋体" w:hint="eastAsia"/>
          <w:b w:val="0"/>
          <w:sz w:val="28"/>
          <w:szCs w:val="28"/>
        </w:rPr>
        <w:t>2个工作日办结，切实为毕业生解决了实际问题。</w:t>
      </w:r>
    </w:p>
    <w:p w:rsidR="00866866" w:rsidRPr="008C0300" w:rsidRDefault="00B26680" w:rsidP="00B26680">
      <w:pPr>
        <w:pStyle w:val="2"/>
        <w:rPr>
          <w:rFonts w:ascii="黑体" w:eastAsia="黑体" w:hAnsi="黑体" w:cs="宋体"/>
          <w:b w:val="0"/>
          <w:kern w:val="0"/>
          <w:sz w:val="28"/>
          <w:szCs w:val="28"/>
        </w:rPr>
      </w:pPr>
      <w:r w:rsidRPr="008C0300">
        <w:rPr>
          <w:rFonts w:ascii="黑体" w:eastAsia="黑体" w:hAnsi="黑体" w:hint="eastAsia"/>
          <w:b w:val="0"/>
          <w:sz w:val="28"/>
          <w:szCs w:val="28"/>
        </w:rPr>
        <w:t>（二）</w:t>
      </w:r>
      <w:r w:rsidR="00866866" w:rsidRPr="008C0300">
        <w:rPr>
          <w:rFonts w:ascii="黑体" w:eastAsia="黑体" w:hAnsi="黑体" w:hint="eastAsia"/>
          <w:b w:val="0"/>
          <w:sz w:val="28"/>
          <w:szCs w:val="28"/>
        </w:rPr>
        <w:t>多方拓宽就业渠道，提升毕业生就业机会</w:t>
      </w:r>
    </w:p>
    <w:p w:rsidR="00700C32" w:rsidRDefault="00866866" w:rsidP="00700C32">
      <w:pPr>
        <w:pStyle w:val="p0"/>
        <w:spacing w:line="312" w:lineRule="auto"/>
        <w:ind w:firstLineChars="200" w:firstLine="560"/>
        <w:outlineLvl w:val="2"/>
        <w:rPr>
          <w:rFonts w:ascii="方正楷体_GBK" w:eastAsia="方正楷体_GBK" w:hAnsi="宋体"/>
          <w:b w:val="0"/>
          <w:sz w:val="28"/>
          <w:szCs w:val="28"/>
        </w:rPr>
      </w:pPr>
      <w:r w:rsidRPr="00C50352">
        <w:rPr>
          <w:rFonts w:ascii="方正楷体_GBK" w:eastAsia="方正楷体_GBK" w:hAnsi="宋体" w:hint="eastAsia"/>
          <w:b w:val="0"/>
          <w:sz w:val="28"/>
          <w:szCs w:val="28"/>
        </w:rPr>
        <w:t>1、</w:t>
      </w:r>
      <w:r w:rsidR="000E7579" w:rsidRPr="00C50352">
        <w:rPr>
          <w:rFonts w:ascii="方正楷体_GBK" w:eastAsia="方正楷体_GBK" w:hAnsi="宋体" w:hint="eastAsia"/>
          <w:b w:val="0"/>
          <w:sz w:val="28"/>
          <w:szCs w:val="28"/>
        </w:rPr>
        <w:t>深度挖掘各类资源，拓宽就业渠道。</w:t>
      </w:r>
    </w:p>
    <w:p w:rsidR="000E7579" w:rsidRPr="00C50352" w:rsidRDefault="000E7579" w:rsidP="00866866">
      <w:pPr>
        <w:pStyle w:val="p0"/>
        <w:spacing w:line="312" w:lineRule="auto"/>
        <w:ind w:firstLineChars="200" w:firstLine="560"/>
        <w:rPr>
          <w:rFonts w:ascii="方正楷体_GBK" w:eastAsia="方正楷体_GBK" w:hAnsi="宋体"/>
          <w:b w:val="0"/>
          <w:sz w:val="28"/>
          <w:szCs w:val="28"/>
        </w:rPr>
      </w:pPr>
      <w:r w:rsidRPr="00C50352">
        <w:rPr>
          <w:rFonts w:ascii="方正楷体_GBK" w:eastAsia="方正楷体_GBK" w:hAnsi="宋体" w:hint="eastAsia"/>
          <w:b w:val="0"/>
          <w:sz w:val="28"/>
          <w:szCs w:val="28"/>
        </w:rPr>
        <w:t>积极与南部商务区、鄞州商会、绍兴纺织协会</w:t>
      </w:r>
      <w:r w:rsidR="008E6E70" w:rsidRPr="00C50352">
        <w:rPr>
          <w:rFonts w:ascii="方正楷体_GBK" w:eastAsia="方正楷体_GBK" w:hAnsi="宋体" w:hint="eastAsia"/>
          <w:b w:val="0"/>
          <w:sz w:val="28"/>
          <w:szCs w:val="28"/>
        </w:rPr>
        <w:t>、安徽重铁集团</w:t>
      </w:r>
      <w:r w:rsidRPr="00C50352">
        <w:rPr>
          <w:rFonts w:ascii="方正楷体_GBK" w:eastAsia="方正楷体_GBK" w:hAnsi="宋体" w:hint="eastAsia"/>
          <w:b w:val="0"/>
          <w:sz w:val="28"/>
          <w:szCs w:val="28"/>
        </w:rPr>
        <w:t>等洽谈，</w:t>
      </w:r>
      <w:r w:rsidR="00866866" w:rsidRPr="00C50352">
        <w:rPr>
          <w:rFonts w:ascii="方正楷体_GBK" w:eastAsia="方正楷体_GBK" w:hAnsi="宋体" w:hint="eastAsia"/>
          <w:b w:val="0"/>
          <w:sz w:val="28"/>
          <w:szCs w:val="28"/>
        </w:rPr>
        <w:t>通过专场招聘会、企业对接学生活动以及校企合作事项提升学校知名度同时</w:t>
      </w:r>
      <w:r w:rsidR="008659BA" w:rsidRPr="00C50352">
        <w:rPr>
          <w:rFonts w:ascii="方正楷体_GBK" w:eastAsia="方正楷体_GBK" w:hAnsi="宋体" w:hint="eastAsia"/>
          <w:b w:val="0"/>
          <w:sz w:val="28"/>
          <w:szCs w:val="28"/>
        </w:rPr>
        <w:t>，拓展了毕业生就业渠道。</w:t>
      </w:r>
    </w:p>
    <w:p w:rsidR="00700C32" w:rsidRDefault="008659BA" w:rsidP="00700C32">
      <w:pPr>
        <w:pStyle w:val="p0"/>
        <w:spacing w:line="312" w:lineRule="auto"/>
        <w:ind w:firstLineChars="200" w:firstLine="560"/>
        <w:outlineLvl w:val="2"/>
        <w:rPr>
          <w:rFonts w:ascii="方正楷体_GBK" w:eastAsia="方正楷体_GBK" w:hAnsi="宋体"/>
          <w:b w:val="0"/>
          <w:sz w:val="28"/>
          <w:szCs w:val="28"/>
        </w:rPr>
      </w:pPr>
      <w:r w:rsidRPr="00C50352">
        <w:rPr>
          <w:rFonts w:ascii="方正楷体_GBK" w:eastAsia="方正楷体_GBK" w:hAnsi="宋体" w:hint="eastAsia"/>
          <w:b w:val="0"/>
          <w:sz w:val="28"/>
          <w:szCs w:val="28"/>
        </w:rPr>
        <w:t>2、</w:t>
      </w:r>
      <w:r w:rsidR="00700C32">
        <w:rPr>
          <w:rFonts w:ascii="方正楷体_GBK" w:eastAsia="方正楷体_GBK" w:hAnsi="宋体" w:hint="eastAsia"/>
          <w:b w:val="0"/>
          <w:sz w:val="28"/>
          <w:szCs w:val="28"/>
        </w:rPr>
        <w:t>加强专业与企业的联系。</w:t>
      </w:r>
    </w:p>
    <w:p w:rsidR="008659BA" w:rsidRPr="00C50352" w:rsidRDefault="00EA73AF" w:rsidP="00866866">
      <w:pPr>
        <w:pStyle w:val="p0"/>
        <w:spacing w:line="312" w:lineRule="auto"/>
        <w:ind w:firstLineChars="200" w:firstLine="560"/>
        <w:rPr>
          <w:rFonts w:ascii="方正楷体_GBK" w:eastAsia="方正楷体_GBK" w:hAnsi="宋体"/>
          <w:b w:val="0"/>
          <w:sz w:val="28"/>
          <w:szCs w:val="28"/>
        </w:rPr>
      </w:pPr>
      <w:r w:rsidRPr="00C50352">
        <w:rPr>
          <w:rFonts w:ascii="方正楷体_GBK" w:eastAsia="方正楷体_GBK" w:hAnsi="宋体" w:hint="eastAsia"/>
          <w:b w:val="0"/>
          <w:sz w:val="28"/>
          <w:szCs w:val="28"/>
        </w:rPr>
        <w:t>根据企业需求及毕业生意愿，部分专业毕业前暑期即安排毕业生进入企业顶岗锻炼。提前唤醒毕业生的求职意识，积累毕业生的实践能力，企业和学生双方有了更深入的了解，为提高就业质量提供了更多可能性。</w:t>
      </w:r>
    </w:p>
    <w:p w:rsidR="00EA73AF" w:rsidRPr="00691AEA" w:rsidRDefault="00EA73AF" w:rsidP="00691AEA">
      <w:pPr>
        <w:pStyle w:val="3"/>
        <w:rPr>
          <w:sz w:val="28"/>
          <w:szCs w:val="28"/>
        </w:rPr>
      </w:pPr>
      <w:r w:rsidRPr="00691AEA">
        <w:rPr>
          <w:rFonts w:hint="eastAsia"/>
          <w:sz w:val="28"/>
          <w:szCs w:val="28"/>
        </w:rPr>
        <w:t>（三）规范就业程序，使得就业工作合规合理有序展开</w:t>
      </w:r>
    </w:p>
    <w:p w:rsidR="008E6E70" w:rsidRPr="00C50352" w:rsidRDefault="00EA73AF" w:rsidP="009A329B">
      <w:pPr>
        <w:pStyle w:val="p0"/>
        <w:spacing w:line="312" w:lineRule="auto"/>
        <w:ind w:firstLineChars="200" w:firstLine="560"/>
        <w:rPr>
          <w:rFonts w:ascii="方正楷体_GBK" w:eastAsia="方正楷体_GBK" w:hAnsi="宋体"/>
          <w:b w:val="0"/>
          <w:sz w:val="28"/>
          <w:szCs w:val="28"/>
        </w:rPr>
      </w:pPr>
      <w:r w:rsidRPr="00C50352">
        <w:rPr>
          <w:rFonts w:ascii="方正楷体_GBK" w:eastAsia="方正楷体_GBK" w:hAnsi="宋体" w:hint="eastAsia"/>
          <w:b w:val="0"/>
          <w:sz w:val="28"/>
          <w:szCs w:val="28"/>
        </w:rPr>
        <w:t>针对社会对高校毕业生就业情况的质疑，学院在开拓就业渠道、提升毕业生就业质量的同时关注毕业生就业实际。要求二级学院</w:t>
      </w:r>
      <w:r w:rsidR="008E6E70" w:rsidRPr="00C50352">
        <w:rPr>
          <w:rFonts w:ascii="方正楷体_GBK" w:eastAsia="方正楷体_GBK" w:hAnsi="宋体" w:hint="eastAsia"/>
          <w:b w:val="0"/>
          <w:sz w:val="28"/>
          <w:szCs w:val="28"/>
        </w:rPr>
        <w:t>实时把控毕业生就业节奏，</w:t>
      </w:r>
      <w:r w:rsidR="000E7579" w:rsidRPr="00C50352">
        <w:rPr>
          <w:rFonts w:ascii="方正楷体_GBK" w:eastAsia="方正楷体_GBK" w:hAnsi="宋体" w:hint="eastAsia"/>
          <w:b w:val="0"/>
          <w:sz w:val="28"/>
          <w:szCs w:val="28"/>
        </w:rPr>
        <w:t>及时准确报送毕业生生</w:t>
      </w:r>
      <w:r w:rsidR="008E6E70" w:rsidRPr="00C50352">
        <w:rPr>
          <w:rFonts w:ascii="方正楷体_GBK" w:eastAsia="方正楷体_GBK" w:hAnsi="宋体" w:hint="eastAsia"/>
          <w:b w:val="0"/>
          <w:sz w:val="28"/>
          <w:szCs w:val="28"/>
        </w:rPr>
        <w:t>就业方案。对暂时未落实就业单位的毕业生应多方了解情况，掌握未就业原因。对有就业意向的同学应积极帮助落实就业单位。不能将就业工作简单化，杜绝以是否签订就业协议为工作目标。</w:t>
      </w:r>
    </w:p>
    <w:p w:rsidR="008E6E70" w:rsidRPr="00C50352" w:rsidRDefault="008E6E70" w:rsidP="009A329B">
      <w:pPr>
        <w:pStyle w:val="p0"/>
        <w:spacing w:line="312" w:lineRule="auto"/>
        <w:ind w:firstLineChars="200" w:firstLine="560"/>
        <w:rPr>
          <w:rFonts w:ascii="方正楷体_GBK" w:eastAsia="方正楷体_GBK" w:hAnsi="宋体"/>
          <w:b w:val="0"/>
          <w:sz w:val="28"/>
          <w:szCs w:val="28"/>
        </w:rPr>
      </w:pPr>
      <w:r w:rsidRPr="00C50352">
        <w:rPr>
          <w:rFonts w:ascii="方正楷体_GBK" w:eastAsia="方正楷体_GBK" w:hAnsi="宋体" w:hint="eastAsia"/>
          <w:b w:val="0"/>
          <w:sz w:val="28"/>
          <w:szCs w:val="28"/>
        </w:rPr>
        <w:t>校内实行自查，对出现的问题及时纠正，并要求各二级学院提交问题报告。</w:t>
      </w:r>
    </w:p>
    <w:p w:rsidR="008E6E70" w:rsidRPr="00C50352" w:rsidRDefault="008E6E70" w:rsidP="009A329B">
      <w:pPr>
        <w:pStyle w:val="p0"/>
        <w:spacing w:line="312" w:lineRule="auto"/>
        <w:ind w:firstLineChars="200" w:firstLine="560"/>
        <w:rPr>
          <w:rFonts w:ascii="方正楷体_GBK" w:eastAsia="方正楷体_GBK" w:hAnsi="宋体"/>
          <w:b w:val="0"/>
          <w:sz w:val="28"/>
          <w:szCs w:val="28"/>
        </w:rPr>
      </w:pPr>
      <w:r w:rsidRPr="00C50352">
        <w:rPr>
          <w:rFonts w:ascii="方正楷体_GBK" w:eastAsia="方正楷体_GBK" w:hAnsi="宋体" w:hint="eastAsia"/>
          <w:b w:val="0"/>
          <w:sz w:val="28"/>
          <w:szCs w:val="28"/>
        </w:rPr>
        <w:t>严格按照省教育厅要求完成生源信息、就业方案的上报及就业资料的保管和使用，做到材料登记、使用登记，各项工作有据可查。</w:t>
      </w:r>
    </w:p>
    <w:p w:rsidR="0002139C" w:rsidRPr="00C50352" w:rsidRDefault="0002139C" w:rsidP="00B26680">
      <w:pPr>
        <w:pStyle w:val="2"/>
        <w:rPr>
          <w:rFonts w:ascii="黑体" w:eastAsia="黑体" w:hAnsi="黑体"/>
          <w:b w:val="0"/>
          <w:color w:val="000000"/>
          <w:kern w:val="0"/>
          <w:sz w:val="28"/>
          <w:szCs w:val="28"/>
        </w:rPr>
      </w:pPr>
      <w:r w:rsidRPr="00C50352">
        <w:rPr>
          <w:rFonts w:ascii="黑体" w:eastAsia="黑体" w:hAnsi="黑体" w:hint="eastAsia"/>
          <w:b w:val="0"/>
          <w:color w:val="000000"/>
          <w:kern w:val="0"/>
          <w:sz w:val="28"/>
          <w:szCs w:val="28"/>
        </w:rPr>
        <w:t>（</w:t>
      </w:r>
      <w:r w:rsidR="008E6E70" w:rsidRPr="00C50352">
        <w:rPr>
          <w:rFonts w:ascii="黑体" w:eastAsia="黑体" w:hAnsi="黑体" w:hint="eastAsia"/>
          <w:b w:val="0"/>
          <w:color w:val="000000"/>
          <w:kern w:val="0"/>
          <w:sz w:val="28"/>
          <w:szCs w:val="28"/>
        </w:rPr>
        <w:t>四</w:t>
      </w:r>
      <w:r w:rsidRPr="00C50352">
        <w:rPr>
          <w:rFonts w:ascii="黑体" w:eastAsia="黑体" w:hAnsi="黑体" w:hint="eastAsia"/>
          <w:b w:val="0"/>
          <w:color w:val="000000"/>
          <w:kern w:val="0"/>
          <w:sz w:val="28"/>
          <w:szCs w:val="28"/>
        </w:rPr>
        <w:t>）以生涯规划教育、生涯规划竞赛为载体，帮助</w:t>
      </w:r>
      <w:r w:rsidR="009A329B" w:rsidRPr="00C50352">
        <w:rPr>
          <w:rFonts w:ascii="黑体" w:eastAsia="黑体" w:hAnsi="黑体" w:hint="eastAsia"/>
          <w:b w:val="0"/>
          <w:color w:val="000000"/>
          <w:kern w:val="0"/>
          <w:sz w:val="28"/>
          <w:szCs w:val="28"/>
        </w:rPr>
        <w:t>学生</w:t>
      </w:r>
      <w:r w:rsidRPr="00C50352">
        <w:rPr>
          <w:rFonts w:ascii="黑体" w:eastAsia="黑体" w:hAnsi="黑体" w:hint="eastAsia"/>
          <w:b w:val="0"/>
          <w:color w:val="000000"/>
          <w:kern w:val="0"/>
          <w:sz w:val="28"/>
          <w:szCs w:val="28"/>
        </w:rPr>
        <w:t>明确就业目标及发展方向</w:t>
      </w:r>
    </w:p>
    <w:p w:rsidR="0002139C" w:rsidRPr="00C50352" w:rsidRDefault="0002139C" w:rsidP="0002139C">
      <w:pPr>
        <w:widowControl/>
        <w:spacing w:line="360" w:lineRule="auto"/>
        <w:jc w:val="left"/>
        <w:rPr>
          <w:rFonts w:ascii="方正楷体_GBK" w:eastAsia="方正楷体_GBK" w:hAnsi="Times New Roman"/>
          <w:color w:val="000000"/>
          <w:kern w:val="0"/>
          <w:sz w:val="28"/>
          <w:szCs w:val="28"/>
        </w:rPr>
      </w:pPr>
      <w:r>
        <w:rPr>
          <w:rFonts w:ascii="Times New Roman" w:hAnsi="Times New Roman" w:hint="eastAsia"/>
          <w:color w:val="000000"/>
          <w:kern w:val="0"/>
          <w:sz w:val="28"/>
          <w:szCs w:val="28"/>
        </w:rPr>
        <w:t xml:space="preserve"> </w:t>
      </w:r>
      <w:r w:rsidRPr="00C50352">
        <w:rPr>
          <w:rFonts w:ascii="方正楷体_GBK" w:eastAsia="方正楷体_GBK" w:hAnsi="Times New Roman" w:hint="eastAsia"/>
          <w:color w:val="000000"/>
          <w:kern w:val="0"/>
          <w:sz w:val="28"/>
          <w:szCs w:val="28"/>
        </w:rPr>
        <w:t xml:space="preserve">   </w:t>
      </w:r>
      <w:r w:rsidR="009A329B" w:rsidRPr="00C50352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通过</w:t>
      </w:r>
      <w:r w:rsidRPr="00C50352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职业生涯规划大赛</w:t>
      </w:r>
      <w:r w:rsidR="009A329B" w:rsidRPr="00C50352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的开展</w:t>
      </w:r>
      <w:r w:rsidRPr="00C50352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，更早地在目标学生群体中播下了生涯规划的种子。</w:t>
      </w:r>
      <w:r w:rsidR="009A329B" w:rsidRPr="00C50352">
        <w:rPr>
          <w:rFonts w:ascii="方正楷体_GBK" w:eastAsia="方正楷体_GBK" w:hAnsi="Times New Roman" w:hint="eastAsia"/>
          <w:b w:val="0"/>
          <w:color w:val="000000"/>
          <w:kern w:val="0"/>
          <w:sz w:val="28"/>
          <w:szCs w:val="28"/>
        </w:rPr>
        <w:t>结合</w:t>
      </w:r>
      <w:r w:rsidRPr="00C50352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就业指导课程、职业生涯规划大赛</w:t>
      </w:r>
      <w:r w:rsidR="00907436" w:rsidRPr="00C50352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、简历制作大赛</w:t>
      </w:r>
      <w:r w:rsidRPr="00C50352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等形式鼓励全体学生参与到职业生涯的规划与设计中来。通过组织比赛，营造开展生涯规划的氛围，推广职业生涯规划的相关知识，促进学生的自我认知，帮助学生加快了职业定位。</w:t>
      </w:r>
      <w:r w:rsidR="00907436" w:rsidRPr="00C50352">
        <w:rPr>
          <w:rFonts w:ascii="方正楷体_GBK" w:eastAsia="方正楷体_GBK" w:hAnsi="宋体" w:hint="eastAsia"/>
          <w:b w:val="0"/>
          <w:color w:val="000000"/>
          <w:kern w:val="0"/>
          <w:sz w:val="28"/>
          <w:szCs w:val="28"/>
        </w:rPr>
        <w:t>为毕业生提前接触职业、接触职业生涯、尽早进行自我规划提供了平台。</w:t>
      </w:r>
    </w:p>
    <w:p w:rsidR="0002139C" w:rsidRPr="00C50352" w:rsidRDefault="00907436" w:rsidP="00B26680">
      <w:pPr>
        <w:pStyle w:val="2"/>
        <w:rPr>
          <w:rFonts w:ascii="黑体" w:eastAsia="黑体" w:hAnsi="黑体"/>
          <w:b w:val="0"/>
          <w:color w:val="000000"/>
          <w:kern w:val="0"/>
          <w:sz w:val="28"/>
          <w:szCs w:val="28"/>
        </w:rPr>
      </w:pPr>
      <w:r w:rsidRPr="00C50352">
        <w:rPr>
          <w:rFonts w:ascii="黑体" w:eastAsia="黑体" w:hAnsi="黑体" w:hint="eastAsia"/>
          <w:b w:val="0"/>
          <w:color w:val="000000"/>
          <w:kern w:val="0"/>
          <w:sz w:val="28"/>
          <w:szCs w:val="28"/>
        </w:rPr>
        <w:t>（</w:t>
      </w:r>
      <w:r w:rsidR="00F000FF" w:rsidRPr="00C50352">
        <w:rPr>
          <w:rFonts w:ascii="黑体" w:eastAsia="黑体" w:hAnsi="黑体" w:hint="eastAsia"/>
          <w:b w:val="0"/>
          <w:color w:val="000000"/>
          <w:kern w:val="0"/>
          <w:sz w:val="28"/>
          <w:szCs w:val="28"/>
        </w:rPr>
        <w:t>五</w:t>
      </w:r>
      <w:r w:rsidRPr="00C50352">
        <w:rPr>
          <w:rFonts w:ascii="黑体" w:eastAsia="黑体" w:hAnsi="黑体" w:hint="eastAsia"/>
          <w:b w:val="0"/>
          <w:color w:val="000000"/>
          <w:kern w:val="0"/>
          <w:sz w:val="28"/>
          <w:szCs w:val="28"/>
        </w:rPr>
        <w:t>）</w:t>
      </w:r>
      <w:r w:rsidR="00F000FF" w:rsidRPr="00C50352">
        <w:rPr>
          <w:rFonts w:ascii="黑体" w:eastAsia="黑体" w:hAnsi="黑体" w:hint="eastAsia"/>
          <w:b w:val="0"/>
          <w:color w:val="000000"/>
          <w:kern w:val="0"/>
          <w:sz w:val="28"/>
          <w:szCs w:val="28"/>
        </w:rPr>
        <w:t>启动招生</w:t>
      </w:r>
      <w:r w:rsidR="00D57E6F">
        <w:rPr>
          <w:rFonts w:ascii="黑体" w:eastAsia="黑体" w:hAnsi="黑体" w:hint="eastAsia"/>
          <w:b w:val="0"/>
          <w:color w:val="000000"/>
          <w:kern w:val="0"/>
          <w:sz w:val="28"/>
          <w:szCs w:val="28"/>
        </w:rPr>
        <w:t>培养</w:t>
      </w:r>
      <w:r w:rsidR="00F000FF" w:rsidRPr="00C50352">
        <w:rPr>
          <w:rFonts w:ascii="黑体" w:eastAsia="黑体" w:hAnsi="黑体" w:hint="eastAsia"/>
          <w:b w:val="0"/>
          <w:color w:val="000000"/>
          <w:kern w:val="0"/>
          <w:sz w:val="28"/>
          <w:szCs w:val="28"/>
        </w:rPr>
        <w:t>就业联动机制</w:t>
      </w:r>
    </w:p>
    <w:p w:rsidR="006703CB" w:rsidRPr="00C07D42" w:rsidRDefault="006703CB" w:rsidP="006703CB">
      <w:pPr>
        <w:widowControl/>
        <w:spacing w:line="360" w:lineRule="auto"/>
        <w:ind w:firstLineChars="200" w:firstLine="560"/>
        <w:jc w:val="left"/>
        <w:rPr>
          <w:rFonts w:ascii="方正楷体_GBK" w:eastAsia="方正楷体_GBK" w:hAnsi="Verdana"/>
          <w:b w:val="0"/>
          <w:color w:val="000000"/>
          <w:sz w:val="28"/>
          <w:szCs w:val="28"/>
          <w:shd w:val="clear" w:color="auto" w:fill="FFFFFF"/>
        </w:rPr>
      </w:pPr>
      <w:r>
        <w:rPr>
          <w:rFonts w:ascii="方正楷体_GBK" w:eastAsia="方正楷体_GBK" w:hAnsi="Verdana" w:hint="eastAsia"/>
          <w:b w:val="0"/>
          <w:color w:val="000000"/>
          <w:sz w:val="28"/>
          <w:szCs w:val="28"/>
          <w:shd w:val="clear" w:color="auto" w:fill="FFFFFF"/>
        </w:rPr>
        <w:t>学院</w:t>
      </w:r>
      <w:r w:rsidRPr="00C07D42">
        <w:rPr>
          <w:rFonts w:ascii="方正楷体_GBK" w:eastAsia="方正楷体_GBK" w:hAnsi="Verdana" w:hint="eastAsia"/>
          <w:b w:val="0"/>
          <w:color w:val="000000"/>
          <w:sz w:val="28"/>
          <w:szCs w:val="28"/>
          <w:shd w:val="clear" w:color="auto" w:fill="FFFFFF"/>
        </w:rPr>
        <w:t>以社会需求为中心，建立社会需求与招生专业、人才培养和学生就业之间的内在关联体系，以招生促培养、培养促就业、以就业促招生，缩小社会需要与</w:t>
      </w:r>
      <w:r>
        <w:rPr>
          <w:rFonts w:ascii="方正楷体_GBK" w:eastAsia="方正楷体_GBK" w:hAnsi="Verdana" w:hint="eastAsia"/>
          <w:b w:val="0"/>
          <w:color w:val="000000"/>
          <w:sz w:val="28"/>
          <w:szCs w:val="28"/>
          <w:shd w:val="clear" w:color="auto" w:fill="FFFFFF"/>
        </w:rPr>
        <w:t>学院</w:t>
      </w:r>
      <w:r w:rsidRPr="00C07D42">
        <w:rPr>
          <w:rFonts w:ascii="方正楷体_GBK" w:eastAsia="方正楷体_GBK" w:hAnsi="Verdana" w:hint="eastAsia"/>
          <w:b w:val="0"/>
          <w:color w:val="000000"/>
          <w:sz w:val="28"/>
          <w:szCs w:val="28"/>
          <w:shd w:val="clear" w:color="auto" w:fill="FFFFFF"/>
        </w:rPr>
        <w:t>人才培养质量之间的差距。</w:t>
      </w:r>
    </w:p>
    <w:p w:rsidR="00F000FF" w:rsidRPr="00C50352" w:rsidRDefault="00F000FF" w:rsidP="00F000FF">
      <w:pPr>
        <w:widowControl/>
        <w:spacing w:line="360" w:lineRule="auto"/>
        <w:ind w:firstLineChars="200" w:firstLine="560"/>
        <w:jc w:val="left"/>
        <w:rPr>
          <w:rFonts w:ascii="方正楷体_GBK" w:eastAsia="方正楷体_GBK" w:hAnsi="宋体" w:cs="仿宋_GB2312"/>
          <w:b w:val="0"/>
          <w:sz w:val="28"/>
          <w:szCs w:val="28"/>
        </w:rPr>
      </w:pPr>
      <w:r w:rsidRPr="00C50352">
        <w:rPr>
          <w:rFonts w:ascii="方正楷体_GBK" w:eastAsia="方正楷体_GBK" w:hAnsi="宋体" w:cs="仿宋_GB2312" w:hint="eastAsia"/>
          <w:b w:val="0"/>
          <w:sz w:val="28"/>
          <w:szCs w:val="28"/>
        </w:rPr>
        <w:t>目前，毕业生就业质量跟踪调查数据作为各专业办学质量的评价依据之一</w:t>
      </w:r>
      <w:r w:rsidR="00C07D42">
        <w:rPr>
          <w:rFonts w:ascii="方正楷体_GBK" w:eastAsia="方正楷体_GBK" w:hAnsi="宋体" w:cs="仿宋_GB2312" w:hint="eastAsia"/>
          <w:b w:val="0"/>
          <w:sz w:val="28"/>
          <w:szCs w:val="28"/>
        </w:rPr>
        <w:t>，</w:t>
      </w:r>
      <w:r w:rsidRPr="00C50352">
        <w:rPr>
          <w:rFonts w:ascii="方正楷体_GBK" w:eastAsia="方正楷体_GBK" w:hAnsi="宋体" w:cs="仿宋_GB2312" w:hint="eastAsia"/>
          <w:b w:val="0"/>
          <w:sz w:val="28"/>
          <w:szCs w:val="28"/>
        </w:rPr>
        <w:t>为科学进行专业评估，调整专业设置，促进学院的更好发展提供了数据基础及操作依据。近年，学院启动了招生</w:t>
      </w:r>
      <w:r w:rsidR="00C07D42">
        <w:rPr>
          <w:rFonts w:ascii="方正楷体_GBK" w:eastAsia="方正楷体_GBK" w:hAnsi="宋体" w:cs="仿宋_GB2312" w:hint="eastAsia"/>
          <w:b w:val="0"/>
          <w:sz w:val="28"/>
          <w:szCs w:val="28"/>
        </w:rPr>
        <w:t>培养</w:t>
      </w:r>
      <w:r w:rsidRPr="00C50352">
        <w:rPr>
          <w:rFonts w:ascii="方正楷体_GBK" w:eastAsia="方正楷体_GBK" w:hAnsi="宋体" w:cs="仿宋_GB2312" w:hint="eastAsia"/>
          <w:b w:val="0"/>
          <w:sz w:val="28"/>
          <w:szCs w:val="28"/>
        </w:rPr>
        <w:t>就业联动机制，以各专业毕业生就业数据为依据科学调整各专业招生计划，以期各专业发展更加符合社会需求。</w:t>
      </w:r>
    </w:p>
    <w:p w:rsidR="00C07D42" w:rsidRDefault="00F000FF" w:rsidP="0002139C">
      <w:pPr>
        <w:widowControl/>
        <w:spacing w:line="360" w:lineRule="auto"/>
        <w:ind w:firstLineChars="200" w:firstLine="560"/>
        <w:jc w:val="left"/>
        <w:rPr>
          <w:rFonts w:ascii="方正楷体_GBK" w:eastAsia="方正楷体_GBK" w:hAnsi="宋体" w:cs="仿宋_GB2312"/>
          <w:b w:val="0"/>
          <w:sz w:val="28"/>
          <w:szCs w:val="28"/>
        </w:rPr>
      </w:pPr>
      <w:r w:rsidRPr="00C50352">
        <w:rPr>
          <w:rFonts w:ascii="方正楷体_GBK" w:eastAsia="方正楷体_GBK" w:hAnsi="宋体" w:hint="eastAsia"/>
          <w:b w:val="0"/>
          <w:bCs/>
          <w:sz w:val="28"/>
          <w:szCs w:val="28"/>
        </w:rPr>
        <w:t>近年学院继续积极组织开展各类跟踪调查，</w:t>
      </w:r>
      <w:r w:rsidR="0002139C" w:rsidRPr="00C50352">
        <w:rPr>
          <w:rFonts w:ascii="方正楷体_GBK" w:eastAsia="方正楷体_GBK" w:hAnsi="宋体" w:hint="eastAsia"/>
          <w:b w:val="0"/>
          <w:bCs/>
          <w:sz w:val="28"/>
          <w:szCs w:val="28"/>
        </w:rPr>
        <w:t>组织相关人员</w:t>
      </w:r>
      <w:r w:rsidR="0002139C" w:rsidRPr="00C50352">
        <w:rPr>
          <w:rFonts w:ascii="方正楷体_GBK" w:eastAsia="方正楷体_GBK" w:hAnsi="宋体" w:cs="仿宋_GB2312" w:hint="eastAsia"/>
          <w:b w:val="0"/>
          <w:sz w:val="28"/>
          <w:szCs w:val="28"/>
        </w:rPr>
        <w:t>对201</w:t>
      </w:r>
      <w:r w:rsidRPr="00C50352">
        <w:rPr>
          <w:rFonts w:ascii="方正楷体_GBK" w:eastAsia="方正楷体_GBK" w:hAnsi="宋体" w:cs="仿宋_GB2312" w:hint="eastAsia"/>
          <w:b w:val="0"/>
          <w:sz w:val="28"/>
          <w:szCs w:val="28"/>
        </w:rPr>
        <w:t>3</w:t>
      </w:r>
      <w:r w:rsidR="0002139C" w:rsidRPr="00C50352">
        <w:rPr>
          <w:rFonts w:ascii="方正楷体_GBK" w:eastAsia="方正楷体_GBK" w:hAnsi="宋体" w:cs="仿宋_GB2312" w:hint="eastAsia"/>
          <w:b w:val="0"/>
          <w:sz w:val="28"/>
          <w:szCs w:val="28"/>
        </w:rPr>
        <w:t>届、201</w:t>
      </w:r>
      <w:r w:rsidRPr="00C50352">
        <w:rPr>
          <w:rFonts w:ascii="方正楷体_GBK" w:eastAsia="方正楷体_GBK" w:hAnsi="宋体" w:cs="仿宋_GB2312" w:hint="eastAsia"/>
          <w:b w:val="0"/>
          <w:sz w:val="28"/>
          <w:szCs w:val="28"/>
        </w:rPr>
        <w:t>5</w:t>
      </w:r>
      <w:r w:rsidR="0002139C" w:rsidRPr="00C50352">
        <w:rPr>
          <w:rFonts w:ascii="方正楷体_GBK" w:eastAsia="方正楷体_GBK" w:hAnsi="宋体" w:cs="仿宋_GB2312" w:hint="eastAsia"/>
          <w:b w:val="0"/>
          <w:sz w:val="28"/>
          <w:szCs w:val="28"/>
        </w:rPr>
        <w:t>届毕业生跟踪调查报告作了详细的解读和分析，并对201</w:t>
      </w:r>
      <w:r w:rsidRPr="00C50352">
        <w:rPr>
          <w:rFonts w:ascii="方正楷体_GBK" w:eastAsia="方正楷体_GBK" w:hAnsi="宋体" w:cs="仿宋_GB2312" w:hint="eastAsia"/>
          <w:b w:val="0"/>
          <w:sz w:val="28"/>
          <w:szCs w:val="28"/>
        </w:rPr>
        <w:t>4</w:t>
      </w:r>
      <w:r w:rsidR="0002139C" w:rsidRPr="00C50352">
        <w:rPr>
          <w:rFonts w:ascii="方正楷体_GBK" w:eastAsia="方正楷体_GBK" w:hAnsi="宋体" w:cs="仿宋_GB2312" w:hint="eastAsia"/>
          <w:b w:val="0"/>
          <w:sz w:val="28"/>
          <w:szCs w:val="28"/>
        </w:rPr>
        <w:t>届、201</w:t>
      </w:r>
      <w:r w:rsidRPr="00C50352">
        <w:rPr>
          <w:rFonts w:ascii="方正楷体_GBK" w:eastAsia="方正楷体_GBK" w:hAnsi="宋体" w:cs="仿宋_GB2312" w:hint="eastAsia"/>
          <w:b w:val="0"/>
          <w:sz w:val="28"/>
          <w:szCs w:val="28"/>
        </w:rPr>
        <w:t>6</w:t>
      </w:r>
      <w:r w:rsidR="0002139C" w:rsidRPr="00C50352">
        <w:rPr>
          <w:rFonts w:ascii="方正楷体_GBK" w:eastAsia="方正楷体_GBK" w:hAnsi="宋体" w:cs="仿宋_GB2312" w:hint="eastAsia"/>
          <w:b w:val="0"/>
          <w:sz w:val="28"/>
          <w:szCs w:val="28"/>
        </w:rPr>
        <w:t>届毕业生及用人单位的跟踪调查工作进行了布置。除配合省教育评估院做好相关跟踪调查工作外，联合发展规划处对</w:t>
      </w:r>
      <w:r w:rsidRPr="00C50352">
        <w:rPr>
          <w:rFonts w:ascii="方正楷体_GBK" w:eastAsia="方正楷体_GBK" w:hAnsi="宋体" w:cs="仿宋_GB2312" w:hint="eastAsia"/>
          <w:b w:val="0"/>
          <w:sz w:val="28"/>
          <w:szCs w:val="28"/>
        </w:rPr>
        <w:t>2017</w:t>
      </w:r>
      <w:r w:rsidR="0002139C" w:rsidRPr="00C50352">
        <w:rPr>
          <w:rFonts w:ascii="方正楷体_GBK" w:eastAsia="方正楷体_GBK" w:hAnsi="宋体" w:cs="仿宋_GB2312" w:hint="eastAsia"/>
          <w:b w:val="0"/>
          <w:sz w:val="28"/>
          <w:szCs w:val="28"/>
        </w:rPr>
        <w:t>年的毕业生进行了就业质量跟踪调查。</w:t>
      </w:r>
    </w:p>
    <w:p w:rsidR="0002139C" w:rsidRPr="00691AEA" w:rsidRDefault="0002139C" w:rsidP="00691AEA">
      <w:pPr>
        <w:pStyle w:val="3"/>
        <w:rPr>
          <w:rFonts w:ascii="黑体" w:eastAsia="黑体" w:hAnsi="黑体"/>
          <w:b w:val="0"/>
        </w:rPr>
      </w:pPr>
      <w:r w:rsidRPr="00691AEA">
        <w:rPr>
          <w:rFonts w:ascii="黑体" w:eastAsia="黑体" w:hAnsi="黑体"/>
          <w:b w:val="0"/>
        </w:rPr>
        <w:t>三、就业工作中存在的</w:t>
      </w:r>
      <w:r w:rsidRPr="00691AEA">
        <w:rPr>
          <w:rFonts w:ascii="黑体" w:eastAsia="黑体" w:hAnsi="黑体" w:hint="eastAsia"/>
          <w:b w:val="0"/>
        </w:rPr>
        <w:t>困难和问题</w:t>
      </w:r>
    </w:p>
    <w:p w:rsidR="00A91C52" w:rsidRPr="00C50352" w:rsidRDefault="00A91C52" w:rsidP="00B26680">
      <w:pPr>
        <w:pStyle w:val="p0"/>
        <w:spacing w:line="360" w:lineRule="auto"/>
        <w:ind w:firstLineChars="199" w:firstLine="557"/>
        <w:outlineLvl w:val="1"/>
        <w:rPr>
          <w:rFonts w:ascii="方正楷体_GBK" w:eastAsia="方正楷体_GBK" w:hAnsi="宋体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1、高素质专业人才紧缺，就业队伍人手不足。</w:t>
      </w:r>
    </w:p>
    <w:p w:rsidR="0002139C" w:rsidRPr="00C50352" w:rsidRDefault="0002139C" w:rsidP="0002139C">
      <w:pPr>
        <w:pStyle w:val="p0"/>
        <w:spacing w:line="360" w:lineRule="auto"/>
        <w:ind w:firstLineChars="199" w:firstLine="557"/>
        <w:rPr>
          <w:rFonts w:ascii="方正楷体_GBK" w:eastAsia="方正楷体_GBK" w:hAnsi="宋体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就业工作人员的专业性及创新性</w:t>
      </w:r>
      <w:r w:rsidR="0055677D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缺乏</w:t>
      </w: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是限制就业工作深入开展的重要因素。就目前的高校就业工作而言，涉及到的内容越来越广泛。小到信息处理，大至</w:t>
      </w:r>
      <w:r w:rsidR="00EE7A88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就业教育、</w:t>
      </w:r>
      <w:r w:rsidR="00087AE9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就业</w:t>
      </w: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指导及</w:t>
      </w:r>
      <w:r w:rsidR="00EE7A88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创业</w:t>
      </w: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实践</w:t>
      </w:r>
      <w:r w:rsidR="00EE7A88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等</w:t>
      </w: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，越来越细化的分类服务对就业工作队伍的人员组成提出了更高要求。</w:t>
      </w:r>
      <w:r w:rsidR="00EE7A88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人手不足是限制现有就业工作人员进一步学习、提升就业工作能力的重要原因</w:t>
      </w:r>
      <w:r w:rsidR="0055677D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，易</w:t>
      </w:r>
      <w:r w:rsidR="00EE7A88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造成就业工作流于日常事务等表层工作</w:t>
      </w:r>
      <w:r w:rsidR="0055677D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。</w:t>
      </w:r>
    </w:p>
    <w:p w:rsidR="00EB7B2C" w:rsidRPr="00C50352" w:rsidRDefault="00EB7B2C" w:rsidP="00B26680">
      <w:pPr>
        <w:pStyle w:val="p0"/>
        <w:spacing w:line="360" w:lineRule="auto"/>
        <w:ind w:firstLineChars="199" w:firstLine="557"/>
        <w:outlineLvl w:val="1"/>
        <w:rPr>
          <w:rFonts w:ascii="方正楷体_GBK" w:eastAsia="方正楷体_GBK" w:hAnsi="宋体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2、就业相关工作缺乏系统性，体系建设任务紧迫。</w:t>
      </w:r>
    </w:p>
    <w:p w:rsidR="00EB7B2C" w:rsidRPr="00C50352" w:rsidRDefault="00EB7B2C" w:rsidP="0002139C">
      <w:pPr>
        <w:pStyle w:val="p0"/>
        <w:spacing w:line="360" w:lineRule="auto"/>
        <w:ind w:firstLineChars="199" w:firstLine="557"/>
        <w:rPr>
          <w:rFonts w:ascii="方正楷体_GBK" w:eastAsia="方正楷体_GBK" w:hAnsi="宋体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目前就业工作涉及内容包括毕业生就业服务、创业服务、征兵、专升本、就业教育、创业教育</w:t>
      </w:r>
      <w:r w:rsidR="00A10970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、创新创业竞赛组织等等，</w:t>
      </w: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涉及就业管理部门、创业管理部门、保卫部门、团委等多个部门。</w:t>
      </w:r>
      <w:r w:rsidR="00A10970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部分工作存在职能交叉情况，要高效完成这部分工作需要建立系统的工作体系，必须对工作进行合理的分工整合。</w:t>
      </w:r>
    </w:p>
    <w:p w:rsidR="00700C32" w:rsidRDefault="00A10970" w:rsidP="00B26680">
      <w:pPr>
        <w:pStyle w:val="p0"/>
        <w:spacing w:line="360" w:lineRule="auto"/>
        <w:ind w:firstLineChars="199" w:firstLine="557"/>
        <w:outlineLvl w:val="1"/>
        <w:rPr>
          <w:rFonts w:ascii="方正楷体_GBK" w:eastAsia="方正楷体_GBK" w:hAnsi="Times New Roman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3</w:t>
      </w:r>
      <w:r w:rsidR="0002139C"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、</w:t>
      </w:r>
      <w:r w:rsidR="0055677D"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个别教师存在以完成就业率为目标的心理，工作</w:t>
      </w:r>
      <w:r w:rsidR="00EB7B2C"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方式</w:t>
      </w:r>
      <w:r w:rsidR="0055677D"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简单化</w:t>
      </w:r>
      <w:r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，</w:t>
      </w:r>
      <w:r w:rsidR="0002139C"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无法做到对毕业生就业状况的</w:t>
      </w:r>
      <w:r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实时监控</w:t>
      </w:r>
      <w:r w:rsidR="0002139C"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。</w:t>
      </w:r>
    </w:p>
    <w:p w:rsidR="0002139C" w:rsidRPr="00C50352" w:rsidRDefault="0002139C" w:rsidP="00B26680">
      <w:pPr>
        <w:pStyle w:val="p0"/>
        <w:spacing w:line="360" w:lineRule="auto"/>
        <w:ind w:firstLineChars="199" w:firstLine="557"/>
        <w:outlineLvl w:val="1"/>
        <w:rPr>
          <w:rFonts w:ascii="方正楷体_GBK" w:eastAsia="方正楷体_GBK" w:hAnsi="Times New Roman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毕业生就业状态是动态变化的过程，初次就业状态往往最不稳定，因此初期数据状态的分析结果往往具有很强的不确定性。因毕业生更换联系方式等个人原因导致无法联系，造成后续跟踪困难，无法及时掌握毕业生的第一手就业状态资料。</w:t>
      </w:r>
    </w:p>
    <w:p w:rsidR="00700C32" w:rsidRDefault="00A10970" w:rsidP="00B26680">
      <w:pPr>
        <w:pStyle w:val="p0"/>
        <w:spacing w:line="360" w:lineRule="auto"/>
        <w:ind w:firstLineChars="199" w:firstLine="557"/>
        <w:outlineLvl w:val="1"/>
        <w:rPr>
          <w:rFonts w:ascii="方正楷体_GBK" w:eastAsia="方正楷体_GBK" w:hAnsi="Times New Roman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4</w:t>
      </w:r>
      <w:r w:rsid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、</w:t>
      </w:r>
      <w:r w:rsidR="0055677D"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创业项目</w:t>
      </w:r>
      <w:r w:rsidR="00700C3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质量有所提高，但吸纳就业效果不明显</w:t>
      </w:r>
      <w:r w:rsidR="0055677D"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。</w:t>
      </w:r>
    </w:p>
    <w:p w:rsidR="0002139C" w:rsidRPr="00C50352" w:rsidRDefault="00EB7B2C" w:rsidP="00B26680">
      <w:pPr>
        <w:pStyle w:val="p0"/>
        <w:spacing w:line="360" w:lineRule="auto"/>
        <w:ind w:firstLineChars="199" w:firstLine="557"/>
        <w:outlineLvl w:val="1"/>
        <w:rPr>
          <w:rFonts w:ascii="方正楷体_GBK" w:eastAsia="方正楷体_GBK" w:hAnsi="Times New Roman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根据2017届毕业生就业数据显示，12名毕业生选择自主创业，虽然涉及多个行业，但在吸纳就业方面，能力较弱。</w:t>
      </w:r>
    </w:p>
    <w:p w:rsidR="00700C32" w:rsidRDefault="0002139C" w:rsidP="00B26680">
      <w:pPr>
        <w:pStyle w:val="p0"/>
        <w:spacing w:line="360" w:lineRule="auto"/>
        <w:ind w:firstLineChars="199" w:firstLine="557"/>
        <w:outlineLvl w:val="1"/>
        <w:rPr>
          <w:rFonts w:ascii="方正楷体_GBK" w:eastAsia="方正楷体_GBK" w:hAnsi="宋体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5</w:t>
      </w: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、</w:t>
      </w:r>
      <w:r w:rsidR="00A10970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今年尚有困难学生未就业</w:t>
      </w:r>
      <w:r w:rsidR="00700C3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。</w:t>
      </w:r>
    </w:p>
    <w:p w:rsidR="0002139C" w:rsidRDefault="00A10970" w:rsidP="00B26680">
      <w:pPr>
        <w:pStyle w:val="p0"/>
        <w:spacing w:line="360" w:lineRule="auto"/>
        <w:ind w:firstLineChars="199" w:firstLine="557"/>
        <w:outlineLvl w:val="1"/>
        <w:rPr>
          <w:rFonts w:ascii="方正楷体_GBK" w:eastAsia="方正楷体_GBK" w:hAnsi="宋体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未就业类型主要是没有主观就业意愿以及就业困难。今后还需加大困难学生就业帮扶，力争实现困难学生100%就业。</w:t>
      </w:r>
    </w:p>
    <w:p w:rsidR="00C50352" w:rsidRPr="00C50352" w:rsidRDefault="00C50352" w:rsidP="00B26680">
      <w:pPr>
        <w:pStyle w:val="p0"/>
        <w:spacing w:line="360" w:lineRule="auto"/>
        <w:ind w:firstLineChars="199" w:firstLine="557"/>
        <w:outlineLvl w:val="1"/>
        <w:rPr>
          <w:rFonts w:ascii="方正楷体_GBK" w:eastAsia="方正楷体_GBK" w:hAnsi="宋体" w:cs="Times New Roman"/>
          <w:b w:val="0"/>
          <w:bCs w:val="0"/>
          <w:color w:val="000000"/>
          <w:sz w:val="28"/>
          <w:szCs w:val="28"/>
        </w:rPr>
      </w:pPr>
      <w:r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6、整体就业情况较好，但创业、参军、国家项目等其他就业形式比例很小，今后可继续加大宣传力度。</w:t>
      </w:r>
    </w:p>
    <w:p w:rsidR="0002139C" w:rsidRPr="00691AEA" w:rsidRDefault="0002139C" w:rsidP="00691AEA">
      <w:pPr>
        <w:pStyle w:val="3"/>
        <w:rPr>
          <w:rFonts w:ascii="黑体" w:eastAsia="黑体" w:hAnsi="黑体"/>
          <w:b w:val="0"/>
        </w:rPr>
      </w:pPr>
      <w:r w:rsidRPr="00691AEA">
        <w:rPr>
          <w:rFonts w:ascii="黑体" w:eastAsia="黑体" w:hAnsi="黑体" w:hint="eastAsia"/>
          <w:b w:val="0"/>
        </w:rPr>
        <w:t>四、今后工作的</w:t>
      </w:r>
      <w:r w:rsidRPr="00691AEA">
        <w:rPr>
          <w:rFonts w:ascii="黑体" w:eastAsia="黑体" w:hAnsi="黑体"/>
          <w:b w:val="0"/>
        </w:rPr>
        <w:t>对策和建议</w:t>
      </w:r>
    </w:p>
    <w:p w:rsidR="00A10970" w:rsidRPr="00C50352" w:rsidRDefault="00B26680" w:rsidP="00C50352">
      <w:pPr>
        <w:pStyle w:val="p0"/>
        <w:spacing w:line="360" w:lineRule="auto"/>
        <w:ind w:firstLineChars="199" w:firstLine="557"/>
        <w:outlineLvl w:val="1"/>
        <w:rPr>
          <w:rFonts w:ascii="方正楷体_GBK" w:eastAsia="方正楷体_GBK" w:hAnsi="宋体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（一）</w:t>
      </w:r>
      <w:r w:rsidR="00A10970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建议</w:t>
      </w: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省毕业生就业工作主管部门</w:t>
      </w:r>
      <w:r w:rsidR="00A10970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定期组织高校进行</w:t>
      </w: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各方面</w:t>
      </w:r>
      <w:r w:rsidR="00A10970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经验交流，特别是在</w:t>
      </w: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就业教育、创业教育以及一些行之有效的做法方面可以进行推广。</w:t>
      </w:r>
    </w:p>
    <w:p w:rsidR="0002139C" w:rsidRPr="00C50352" w:rsidRDefault="00576EF4" w:rsidP="00C50352">
      <w:pPr>
        <w:pStyle w:val="p0"/>
        <w:spacing w:line="360" w:lineRule="auto"/>
        <w:ind w:firstLineChars="199" w:firstLine="557"/>
        <w:outlineLvl w:val="1"/>
        <w:rPr>
          <w:rFonts w:ascii="方正楷体_GBK" w:eastAsia="方正楷体_GBK" w:hAnsi="宋体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（二）</w:t>
      </w:r>
      <w:r w:rsidR="00B26680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建议学校组织</w:t>
      </w:r>
      <w:r w:rsidR="0002139C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招生就业处、学生处、创业学院、</w:t>
      </w:r>
      <w:r w:rsidR="00B26680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团委、教务处、保卫处对就业工作进行共同建设，明确职责。形成沟通顺畅、行之高效的就业网络。</w:t>
      </w:r>
      <w:r w:rsidR="0002139C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以</w:t>
      </w:r>
      <w:r w:rsidR="00B26680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提升</w:t>
      </w:r>
      <w:r w:rsidR="0002139C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就业质量为最终目标，发挥各部门的优势，合力做好全体学生的就业工作。</w:t>
      </w:r>
    </w:p>
    <w:p w:rsidR="0002139C" w:rsidRPr="00C50352" w:rsidRDefault="00576EF4" w:rsidP="00C50352">
      <w:pPr>
        <w:pStyle w:val="p0"/>
        <w:spacing w:line="360" w:lineRule="auto"/>
        <w:ind w:firstLineChars="199" w:firstLine="557"/>
        <w:outlineLvl w:val="1"/>
        <w:rPr>
          <w:rFonts w:ascii="方正楷体_GBK" w:eastAsia="方正楷体_GBK" w:hAnsi="Times New Roman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（三）</w:t>
      </w:r>
      <w:r w:rsidR="00B26680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招生就业处</w:t>
      </w:r>
      <w:r w:rsidR="0002139C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加强对就业工作人员</w:t>
      </w:r>
      <w:r w:rsidR="00B26680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及就业教育人员</w:t>
      </w:r>
      <w:r w:rsidR="0002139C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的培训及交流学习，</w:t>
      </w:r>
      <w:r w:rsidR="00B26680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二级学院尽量</w:t>
      </w:r>
      <w:r w:rsidR="0002139C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保持人员的稳定性，有利于队伍素质的提</w:t>
      </w:r>
      <w:r w:rsidR="009748DB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高</w:t>
      </w:r>
      <w:r w:rsidR="0002139C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。</w:t>
      </w:r>
    </w:p>
    <w:p w:rsidR="00B26680" w:rsidRPr="00C50352" w:rsidRDefault="00576EF4" w:rsidP="00C50352">
      <w:pPr>
        <w:pStyle w:val="p0"/>
        <w:ind w:firstLineChars="199" w:firstLine="557"/>
        <w:outlineLvl w:val="1"/>
        <w:rPr>
          <w:rFonts w:ascii="方正楷体_GBK" w:eastAsia="方正楷体_GBK" w:hAnsi="宋体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（四）</w:t>
      </w:r>
      <w:r w:rsidR="00B26680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依托地域及专业优势，提升校企合作数量及质量。可以考虑与专业就业市场合作，结合学校专业分布，针对性组织招聘活动。</w:t>
      </w:r>
    </w:p>
    <w:p w:rsidR="00377D4C" w:rsidRPr="00C50352" w:rsidRDefault="00576EF4" w:rsidP="00C50352">
      <w:pPr>
        <w:pStyle w:val="p0"/>
        <w:ind w:firstLineChars="199" w:firstLine="557"/>
        <w:outlineLvl w:val="1"/>
        <w:rPr>
          <w:rFonts w:ascii="方正楷体_GBK" w:eastAsia="方正楷体_GBK" w:hAnsi="Times New Roman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（五）</w:t>
      </w:r>
      <w:r w:rsidR="001E2525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树立</w:t>
      </w:r>
      <w:r w:rsidR="00377D4C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正确的就业观念，</w:t>
      </w:r>
      <w:r w:rsidR="001E2525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是提高毕业生就业成功率的有效武器。继续</w:t>
      </w:r>
      <w:r w:rsidR="00B92C76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提高</w:t>
      </w:r>
      <w:r w:rsidR="001E2525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相应的就业</w:t>
      </w:r>
      <w:r w:rsidR="00B92C76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教育质量</w:t>
      </w:r>
      <w:r w:rsidR="001E2525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，</w:t>
      </w:r>
      <w:r w:rsidR="00377D4C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加强</w:t>
      </w:r>
      <w:r w:rsidR="001E2525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就业实践的引导，帮助做好</w:t>
      </w:r>
      <w:r w:rsidR="00377D4C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学生进行职业生涯规划，</w:t>
      </w:r>
      <w:r w:rsidR="001E2525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提高就</w:t>
      </w:r>
      <w:r w:rsidR="00377D4C" w:rsidRPr="00C50352">
        <w:rPr>
          <w:rFonts w:ascii="方正楷体_GBK" w:eastAsia="方正楷体_GBK" w:hAnsi="宋体" w:cs="Times New Roman" w:hint="eastAsia"/>
          <w:b w:val="0"/>
          <w:bCs w:val="0"/>
          <w:color w:val="000000"/>
          <w:sz w:val="28"/>
          <w:szCs w:val="28"/>
        </w:rPr>
        <w:t>业竞争力。</w:t>
      </w:r>
    </w:p>
    <w:p w:rsidR="001E2525" w:rsidRDefault="00716B56" w:rsidP="00C50352">
      <w:pPr>
        <w:pStyle w:val="p0"/>
        <w:ind w:firstLineChars="199" w:firstLine="557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201</w:t>
      </w:r>
      <w:r w:rsidR="00B26680"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8</w:t>
      </w:r>
      <w:r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届毕业生就业工作已经启动，我们将在吸收以往工作经验的基础上继续努力提升就业服务质量，力争持续完善就业服务</w:t>
      </w:r>
      <w:r w:rsidR="00927185"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体系及网络，提高就业服务满意度。</w:t>
      </w:r>
    </w:p>
    <w:p w:rsidR="001E2525" w:rsidRPr="00B26680" w:rsidRDefault="001E2525" w:rsidP="009E7FE6">
      <w:pPr>
        <w:pStyle w:val="p0"/>
        <w:ind w:firstLineChars="199" w:firstLine="557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E2525" w:rsidRDefault="001E2525" w:rsidP="001E2525">
      <w:pPr>
        <w:pStyle w:val="p0"/>
        <w:ind w:firstLineChars="199" w:firstLine="557"/>
        <w:jc w:val="right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</w:p>
    <w:p w:rsidR="001E2525" w:rsidRPr="00C50352" w:rsidRDefault="001E2525" w:rsidP="001E2525">
      <w:pPr>
        <w:pStyle w:val="p0"/>
        <w:ind w:firstLineChars="199" w:firstLine="557"/>
        <w:jc w:val="right"/>
        <w:rPr>
          <w:rFonts w:ascii="方正楷体_GBK" w:eastAsia="方正楷体_GBK" w:hAnsi="Times New Roman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招生就业处</w:t>
      </w:r>
    </w:p>
    <w:p w:rsidR="001E2525" w:rsidRPr="00C50352" w:rsidRDefault="001E2525" w:rsidP="001E2525">
      <w:pPr>
        <w:pStyle w:val="p0"/>
        <w:ind w:firstLineChars="199" w:firstLine="557"/>
        <w:jc w:val="right"/>
        <w:rPr>
          <w:rFonts w:ascii="方正楷体_GBK" w:eastAsia="方正楷体_GBK" w:hAnsi="Times New Roman" w:cs="Times New Roman"/>
          <w:b w:val="0"/>
          <w:bCs w:val="0"/>
          <w:color w:val="000000"/>
          <w:sz w:val="28"/>
          <w:szCs w:val="28"/>
        </w:rPr>
      </w:pPr>
      <w:r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201</w:t>
      </w:r>
      <w:r w:rsidR="00B26680"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7</w:t>
      </w:r>
      <w:r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-0</w:t>
      </w:r>
      <w:r w:rsidR="00C03528"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9</w:t>
      </w:r>
      <w:r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-</w:t>
      </w:r>
      <w:r w:rsidR="00B26680" w:rsidRPr="00C50352">
        <w:rPr>
          <w:rFonts w:ascii="方正楷体_GBK" w:eastAsia="方正楷体_GBK" w:hAnsi="Times New Roman" w:cs="Times New Roman" w:hint="eastAsia"/>
          <w:b w:val="0"/>
          <w:bCs w:val="0"/>
          <w:color w:val="000000"/>
          <w:sz w:val="28"/>
          <w:szCs w:val="28"/>
        </w:rPr>
        <w:t>14</w:t>
      </w:r>
    </w:p>
    <w:sectPr w:rsidR="001E2525" w:rsidRPr="00C50352" w:rsidSect="00724F34">
      <w:footerReference w:type="default" r:id="rId14"/>
      <w:pgSz w:w="11906" w:h="16838"/>
      <w:pgMar w:top="1440" w:right="1800" w:bottom="1440" w:left="1800" w:header="851" w:footer="992" w:gutter="0"/>
      <w:pgNumType w:start="1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5AA6" w:rsidRDefault="007C5AA6">
      <w:r>
        <w:separator/>
      </w:r>
    </w:p>
  </w:endnote>
  <w:endnote w:type="continuationSeparator" w:id="1">
    <w:p w:rsidR="007C5AA6" w:rsidRDefault="007C5A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ˎ̥">
    <w:altName w:val="Courier New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A1" w:rsidRDefault="00AE6860" w:rsidP="00FC3F9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D6CA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D6CA1" w:rsidRDefault="00BD6CA1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D6CA1" w:rsidRPr="00724F34" w:rsidRDefault="00AE6860" w:rsidP="00FC3F9A">
    <w:pPr>
      <w:pStyle w:val="a5"/>
      <w:framePr w:wrap="around" w:vAnchor="text" w:hAnchor="margin" w:xAlign="center" w:y="1"/>
      <w:rPr>
        <w:rStyle w:val="a7"/>
        <w:rFonts w:ascii="Times New Roman" w:hAnsi="Times New Roman"/>
      </w:rPr>
    </w:pPr>
    <w:r w:rsidRPr="00724F34">
      <w:rPr>
        <w:rStyle w:val="a7"/>
        <w:rFonts w:ascii="Times New Roman" w:hAnsi="Times New Roman"/>
      </w:rPr>
      <w:fldChar w:fldCharType="begin"/>
    </w:r>
    <w:r w:rsidR="00BD6CA1" w:rsidRPr="00724F34">
      <w:rPr>
        <w:rStyle w:val="a7"/>
        <w:rFonts w:ascii="Times New Roman" w:hAnsi="Times New Roman"/>
      </w:rPr>
      <w:instrText xml:space="preserve">PAGE  </w:instrText>
    </w:r>
    <w:r w:rsidRPr="00724F34">
      <w:rPr>
        <w:rStyle w:val="a7"/>
        <w:rFonts w:ascii="Times New Roman" w:hAnsi="Times New Roman"/>
      </w:rPr>
      <w:fldChar w:fldCharType="separate"/>
    </w:r>
    <w:r w:rsidR="006E3754">
      <w:rPr>
        <w:rStyle w:val="a7"/>
        <w:rFonts w:ascii="Times New Roman" w:hAnsi="Times New Roman"/>
        <w:noProof/>
      </w:rPr>
      <w:t>13</w:t>
    </w:r>
    <w:r w:rsidRPr="00724F34">
      <w:rPr>
        <w:rStyle w:val="a7"/>
        <w:rFonts w:ascii="Times New Roman" w:hAnsi="Times New Roman"/>
      </w:rPr>
      <w:fldChar w:fldCharType="end"/>
    </w:r>
  </w:p>
  <w:p w:rsidR="00BD6CA1" w:rsidRPr="00724F34" w:rsidRDefault="00BD6CA1">
    <w:pPr>
      <w:pStyle w:val="a5"/>
      <w:rPr>
        <w:rFonts w:ascii="Times New Roman" w:hAnsi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5AA6" w:rsidRDefault="007C5AA6">
      <w:r>
        <w:separator/>
      </w:r>
    </w:p>
  </w:footnote>
  <w:footnote w:type="continuationSeparator" w:id="1">
    <w:p w:rsidR="007C5AA6" w:rsidRDefault="007C5A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0945F3"/>
    <w:multiLevelType w:val="hybridMultilevel"/>
    <w:tmpl w:val="D3C6D1A6"/>
    <w:lvl w:ilvl="0" w:tplc="3FCCEE54">
      <w:start w:val="4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CB60B9"/>
    <w:multiLevelType w:val="multilevel"/>
    <w:tmpl w:val="3DCB60B9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ascii="Times New Roman" w:hAnsi="Times New Roman" w:cs="Times New Roman" w:hint="default"/>
      </w:rPr>
    </w:lvl>
  </w:abstractNum>
  <w:abstractNum w:abstractNumId="2">
    <w:nsid w:val="538D7649"/>
    <w:multiLevelType w:val="singleLevel"/>
    <w:tmpl w:val="538D7649"/>
    <w:lvl w:ilvl="0">
      <w:start w:val="1"/>
      <w:numFmt w:val="decimal"/>
      <w:suff w:val="nothing"/>
      <w:lvlText w:val="%1、"/>
      <w:lvlJc w:val="left"/>
    </w:lvl>
  </w:abstractNum>
  <w:abstractNum w:abstractNumId="3">
    <w:nsid w:val="538E6C5C"/>
    <w:multiLevelType w:val="singleLevel"/>
    <w:tmpl w:val="538E6C5C"/>
    <w:lvl w:ilvl="0">
      <w:start w:val="2"/>
      <w:numFmt w:val="decimal"/>
      <w:suff w:val="nothing"/>
      <w:lvlText w:val="%1、"/>
      <w:lvlJc w:val="left"/>
    </w:lvl>
  </w:abstractNum>
  <w:abstractNum w:abstractNumId="4">
    <w:nsid w:val="5417D4CC"/>
    <w:multiLevelType w:val="singleLevel"/>
    <w:tmpl w:val="5417D4CC"/>
    <w:lvl w:ilvl="0">
      <w:start w:val="1"/>
      <w:numFmt w:val="decimal"/>
      <w:suff w:val="nothing"/>
      <w:lvlText w:val="%1、"/>
      <w:lvlJc w:val="left"/>
    </w:lvl>
  </w:abstractNum>
  <w:abstractNum w:abstractNumId="5">
    <w:nsid w:val="5418D8EF"/>
    <w:multiLevelType w:val="singleLevel"/>
    <w:tmpl w:val="5418D8EF"/>
    <w:lvl w:ilvl="0">
      <w:start w:val="1"/>
      <w:numFmt w:val="decimal"/>
      <w:suff w:val="nothing"/>
      <w:lvlText w:val="%1、"/>
      <w:lvlJc w:val="left"/>
    </w:lvl>
  </w:abstractNum>
  <w:abstractNum w:abstractNumId="6">
    <w:nsid w:val="541F6E43"/>
    <w:multiLevelType w:val="singleLevel"/>
    <w:tmpl w:val="541F6E43"/>
    <w:lvl w:ilvl="0">
      <w:start w:val="1"/>
      <w:numFmt w:val="decimal"/>
      <w:suff w:val="nothing"/>
      <w:lvlText w:val="%1、"/>
      <w:lvlJc w:val="left"/>
    </w:lvl>
  </w:abstractNum>
  <w:abstractNum w:abstractNumId="7">
    <w:nsid w:val="5420D6FF"/>
    <w:multiLevelType w:val="singleLevel"/>
    <w:tmpl w:val="5420D6FF"/>
    <w:lvl w:ilvl="0">
      <w:start w:val="4"/>
      <w:numFmt w:val="chineseCounting"/>
      <w:suff w:val="nothing"/>
      <w:lvlText w:val="%1、"/>
      <w:lvlJc w:val="left"/>
    </w:lvl>
  </w:abstractNum>
  <w:abstractNum w:abstractNumId="8">
    <w:nsid w:val="654E2F69"/>
    <w:multiLevelType w:val="hybridMultilevel"/>
    <w:tmpl w:val="06206CF2"/>
    <w:lvl w:ilvl="0" w:tplc="A9523DD8">
      <w:start w:val="2"/>
      <w:numFmt w:val="japaneseCounting"/>
      <w:lvlText w:val="（%1）"/>
      <w:lvlJc w:val="left"/>
      <w:pPr>
        <w:ind w:left="990" w:hanging="990"/>
      </w:pPr>
      <w:rPr>
        <w:rFonts w:ascii="Times New Roman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  <w:lvlOverride w:ilvl="0">
      <w:startOverride w:val="1"/>
    </w:lvlOverride>
  </w:num>
  <w:num w:numId="2">
    <w:abstractNumId w:val="4"/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2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HorizontalSpacing w:val="0"/>
  <w:drawingGridVerticalSpacing w:val="156"/>
  <w:noPunctuationKerning/>
  <w:characterSpacingControl w:val="compressPunctuation"/>
  <w:savePreviewPicture/>
  <w:doNotValidateAgainstSchema/>
  <w:doNotDemarcateInvalidXml/>
  <w:hdr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172A27"/>
    <w:rsid w:val="00020DD6"/>
    <w:rsid w:val="0002139C"/>
    <w:rsid w:val="000404E3"/>
    <w:rsid w:val="0004665D"/>
    <w:rsid w:val="00056BC7"/>
    <w:rsid w:val="000742D2"/>
    <w:rsid w:val="00087AE9"/>
    <w:rsid w:val="0009559B"/>
    <w:rsid w:val="000B5D24"/>
    <w:rsid w:val="000C5317"/>
    <w:rsid w:val="000C67F5"/>
    <w:rsid w:val="000C7D62"/>
    <w:rsid w:val="000D1AE9"/>
    <w:rsid w:val="000E7579"/>
    <w:rsid w:val="00115EE0"/>
    <w:rsid w:val="00161DAB"/>
    <w:rsid w:val="00165DEE"/>
    <w:rsid w:val="00172A27"/>
    <w:rsid w:val="00174275"/>
    <w:rsid w:val="00185734"/>
    <w:rsid w:val="00187548"/>
    <w:rsid w:val="00192BAA"/>
    <w:rsid w:val="001B498F"/>
    <w:rsid w:val="001E2525"/>
    <w:rsid w:val="00221C18"/>
    <w:rsid w:val="0024779C"/>
    <w:rsid w:val="002B0479"/>
    <w:rsid w:val="002D14A6"/>
    <w:rsid w:val="002D7761"/>
    <w:rsid w:val="002E7797"/>
    <w:rsid w:val="002F2DF7"/>
    <w:rsid w:val="002F5179"/>
    <w:rsid w:val="0033335B"/>
    <w:rsid w:val="00352244"/>
    <w:rsid w:val="00371045"/>
    <w:rsid w:val="00376F5A"/>
    <w:rsid w:val="00377D4C"/>
    <w:rsid w:val="003A1B9A"/>
    <w:rsid w:val="003A69AA"/>
    <w:rsid w:val="003C240B"/>
    <w:rsid w:val="003C471F"/>
    <w:rsid w:val="003E762E"/>
    <w:rsid w:val="00404D4C"/>
    <w:rsid w:val="004062B3"/>
    <w:rsid w:val="0048118C"/>
    <w:rsid w:val="00496E7F"/>
    <w:rsid w:val="005053D6"/>
    <w:rsid w:val="00516DA3"/>
    <w:rsid w:val="00525F8F"/>
    <w:rsid w:val="005279A2"/>
    <w:rsid w:val="00542359"/>
    <w:rsid w:val="0055677D"/>
    <w:rsid w:val="00563A4F"/>
    <w:rsid w:val="00573052"/>
    <w:rsid w:val="00576EF4"/>
    <w:rsid w:val="0057797F"/>
    <w:rsid w:val="0059378A"/>
    <w:rsid w:val="005E0AEB"/>
    <w:rsid w:val="005E2ED2"/>
    <w:rsid w:val="005F1B30"/>
    <w:rsid w:val="006505D9"/>
    <w:rsid w:val="00653689"/>
    <w:rsid w:val="00655394"/>
    <w:rsid w:val="006703CB"/>
    <w:rsid w:val="00691AEA"/>
    <w:rsid w:val="006A4FB4"/>
    <w:rsid w:val="006C0517"/>
    <w:rsid w:val="006E3754"/>
    <w:rsid w:val="006E704A"/>
    <w:rsid w:val="00700C32"/>
    <w:rsid w:val="00701E39"/>
    <w:rsid w:val="00716B56"/>
    <w:rsid w:val="00724F34"/>
    <w:rsid w:val="00733DE4"/>
    <w:rsid w:val="007465FD"/>
    <w:rsid w:val="007569DC"/>
    <w:rsid w:val="00766A7A"/>
    <w:rsid w:val="00786760"/>
    <w:rsid w:val="00795FE5"/>
    <w:rsid w:val="00796003"/>
    <w:rsid w:val="007C5AA6"/>
    <w:rsid w:val="007E4112"/>
    <w:rsid w:val="008141D5"/>
    <w:rsid w:val="008277A8"/>
    <w:rsid w:val="00834B28"/>
    <w:rsid w:val="00837CF1"/>
    <w:rsid w:val="008659BA"/>
    <w:rsid w:val="00866866"/>
    <w:rsid w:val="00893622"/>
    <w:rsid w:val="008A292D"/>
    <w:rsid w:val="008C0300"/>
    <w:rsid w:val="008E6E70"/>
    <w:rsid w:val="008F4D1D"/>
    <w:rsid w:val="00907436"/>
    <w:rsid w:val="0091151C"/>
    <w:rsid w:val="00912FB8"/>
    <w:rsid w:val="00927185"/>
    <w:rsid w:val="00937E5F"/>
    <w:rsid w:val="00955A90"/>
    <w:rsid w:val="009748DB"/>
    <w:rsid w:val="00976F1E"/>
    <w:rsid w:val="009A329B"/>
    <w:rsid w:val="009C5ED0"/>
    <w:rsid w:val="009E7FE6"/>
    <w:rsid w:val="009F3CFA"/>
    <w:rsid w:val="00A00268"/>
    <w:rsid w:val="00A10970"/>
    <w:rsid w:val="00A652C3"/>
    <w:rsid w:val="00A83010"/>
    <w:rsid w:val="00A9121E"/>
    <w:rsid w:val="00A91C52"/>
    <w:rsid w:val="00AD7BE5"/>
    <w:rsid w:val="00AE6860"/>
    <w:rsid w:val="00AF4051"/>
    <w:rsid w:val="00AF45FD"/>
    <w:rsid w:val="00B00E56"/>
    <w:rsid w:val="00B26680"/>
    <w:rsid w:val="00B63B53"/>
    <w:rsid w:val="00B64B2A"/>
    <w:rsid w:val="00B90166"/>
    <w:rsid w:val="00B92C76"/>
    <w:rsid w:val="00BA6A53"/>
    <w:rsid w:val="00BB6283"/>
    <w:rsid w:val="00BD5239"/>
    <w:rsid w:val="00BD6CA1"/>
    <w:rsid w:val="00BE1397"/>
    <w:rsid w:val="00BE3344"/>
    <w:rsid w:val="00BE706C"/>
    <w:rsid w:val="00C03528"/>
    <w:rsid w:val="00C04555"/>
    <w:rsid w:val="00C07D42"/>
    <w:rsid w:val="00C26600"/>
    <w:rsid w:val="00C50352"/>
    <w:rsid w:val="00C619E0"/>
    <w:rsid w:val="00C704B3"/>
    <w:rsid w:val="00C92ACB"/>
    <w:rsid w:val="00C94D78"/>
    <w:rsid w:val="00CE2BAB"/>
    <w:rsid w:val="00D2197E"/>
    <w:rsid w:val="00D3664D"/>
    <w:rsid w:val="00D57E6F"/>
    <w:rsid w:val="00D6486C"/>
    <w:rsid w:val="00D74272"/>
    <w:rsid w:val="00DB497F"/>
    <w:rsid w:val="00DC7B0D"/>
    <w:rsid w:val="00E01771"/>
    <w:rsid w:val="00E02578"/>
    <w:rsid w:val="00E137F7"/>
    <w:rsid w:val="00E239EC"/>
    <w:rsid w:val="00E254FE"/>
    <w:rsid w:val="00E25A45"/>
    <w:rsid w:val="00E3657C"/>
    <w:rsid w:val="00E40B46"/>
    <w:rsid w:val="00E74453"/>
    <w:rsid w:val="00E76BF9"/>
    <w:rsid w:val="00EA73AF"/>
    <w:rsid w:val="00EB5A7B"/>
    <w:rsid w:val="00EB7B2C"/>
    <w:rsid w:val="00EC2754"/>
    <w:rsid w:val="00ED6F0A"/>
    <w:rsid w:val="00EE7A88"/>
    <w:rsid w:val="00EF54BE"/>
    <w:rsid w:val="00EF7346"/>
    <w:rsid w:val="00F000FF"/>
    <w:rsid w:val="00F1163E"/>
    <w:rsid w:val="00F152DB"/>
    <w:rsid w:val="00F20B0D"/>
    <w:rsid w:val="00F61DFA"/>
    <w:rsid w:val="00F90619"/>
    <w:rsid w:val="00FB7B34"/>
    <w:rsid w:val="00FC3F9A"/>
    <w:rsid w:val="00FC493B"/>
    <w:rsid w:val="00FC6F7D"/>
    <w:rsid w:val="00FE2B13"/>
    <w:rsid w:val="00FF1108"/>
    <w:rsid w:val="00FF3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semiHidden="1" w:uiPriority="99" w:unhideWhenUsed="1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5394"/>
    <w:pPr>
      <w:widowControl w:val="0"/>
      <w:jc w:val="both"/>
    </w:pPr>
    <w:rPr>
      <w:rFonts w:ascii="Calibri" w:hAnsi="Calibri"/>
      <w:b/>
      <w:kern w:val="2"/>
      <w:sz w:val="21"/>
      <w:szCs w:val="24"/>
    </w:rPr>
  </w:style>
  <w:style w:type="paragraph" w:styleId="1">
    <w:name w:val="heading 1"/>
    <w:basedOn w:val="a"/>
    <w:next w:val="a"/>
    <w:qFormat/>
    <w:rsid w:val="00655394"/>
    <w:pPr>
      <w:keepNext/>
      <w:keepLines/>
      <w:spacing w:before="340" w:after="330" w:line="576" w:lineRule="auto"/>
      <w:outlineLvl w:val="0"/>
    </w:pPr>
    <w:rPr>
      <w:b w:val="0"/>
      <w:kern w:val="44"/>
      <w:sz w:val="44"/>
    </w:rPr>
  </w:style>
  <w:style w:type="paragraph" w:styleId="2">
    <w:name w:val="heading 2"/>
    <w:basedOn w:val="a"/>
    <w:next w:val="a"/>
    <w:link w:val="2Char"/>
    <w:semiHidden/>
    <w:unhideWhenUsed/>
    <w:qFormat/>
    <w:rsid w:val="00FF3039"/>
    <w:pPr>
      <w:keepNext/>
      <w:keepLines/>
      <w:spacing w:before="260" w:after="260" w:line="416" w:lineRule="auto"/>
      <w:outlineLvl w:val="1"/>
    </w:pPr>
    <w:rPr>
      <w:rFonts w:ascii="Cambria" w:hAnsi="Cambria"/>
      <w:bCs/>
      <w:sz w:val="32"/>
      <w:szCs w:val="32"/>
    </w:rPr>
  </w:style>
  <w:style w:type="paragraph" w:styleId="3">
    <w:name w:val="heading 3"/>
    <w:basedOn w:val="a"/>
    <w:next w:val="a"/>
    <w:link w:val="3Char"/>
    <w:unhideWhenUsed/>
    <w:qFormat/>
    <w:rsid w:val="00B26680"/>
    <w:pPr>
      <w:keepNext/>
      <w:keepLines/>
      <w:spacing w:before="260" w:after="260" w:line="416" w:lineRule="auto"/>
      <w:outlineLvl w:val="2"/>
    </w:pPr>
    <w:rPr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31">
    <w:name w:val="font31"/>
    <w:basedOn w:val="a0"/>
    <w:rsid w:val="00655394"/>
    <w:rPr>
      <w:rFonts w:ascii="宋体" w:eastAsia="宋体" w:hAnsi="宋体" w:cs="宋体" w:hint="eastAsia"/>
      <w:i w:val="0"/>
      <w:color w:val="000000"/>
      <w:sz w:val="16"/>
      <w:szCs w:val="16"/>
    </w:rPr>
  </w:style>
  <w:style w:type="character" w:customStyle="1" w:styleId="font21">
    <w:name w:val="font21"/>
    <w:basedOn w:val="a0"/>
    <w:rsid w:val="00655394"/>
    <w:rPr>
      <w:rFonts w:ascii="ˎ̥" w:eastAsia="ˎ̥" w:hAnsi="ˎ̥" w:cs="ˎ̥" w:hint="default"/>
      <w:i w:val="0"/>
      <w:color w:val="000000"/>
      <w:sz w:val="16"/>
      <w:szCs w:val="16"/>
    </w:rPr>
  </w:style>
  <w:style w:type="character" w:customStyle="1" w:styleId="font41">
    <w:name w:val="font41"/>
    <w:basedOn w:val="a0"/>
    <w:rsid w:val="00655394"/>
    <w:rPr>
      <w:rFonts w:ascii="宋体" w:eastAsia="宋体" w:hAnsi="宋体" w:cs="宋体" w:hint="eastAsia"/>
      <w:i w:val="0"/>
      <w:color w:val="000000"/>
      <w:sz w:val="16"/>
      <w:szCs w:val="16"/>
    </w:rPr>
  </w:style>
  <w:style w:type="character" w:customStyle="1" w:styleId="font51">
    <w:name w:val="font51"/>
    <w:basedOn w:val="a0"/>
    <w:rsid w:val="00655394"/>
    <w:rPr>
      <w:rFonts w:ascii="ˎ̥" w:eastAsia="ˎ̥" w:hAnsi="ˎ̥" w:cs="ˎ̥" w:hint="default"/>
      <w:i w:val="0"/>
      <w:color w:val="000000"/>
      <w:sz w:val="16"/>
      <w:szCs w:val="16"/>
    </w:rPr>
  </w:style>
  <w:style w:type="paragraph" w:customStyle="1" w:styleId="p0">
    <w:name w:val="p0"/>
    <w:basedOn w:val="a"/>
    <w:rsid w:val="00655394"/>
    <w:pPr>
      <w:widowControl/>
    </w:pPr>
    <w:rPr>
      <w:rFonts w:cs="宋体"/>
      <w:bCs/>
      <w:kern w:val="0"/>
      <w:szCs w:val="21"/>
    </w:rPr>
  </w:style>
  <w:style w:type="paragraph" w:styleId="a3">
    <w:name w:val="Document Map"/>
    <w:basedOn w:val="a"/>
    <w:semiHidden/>
    <w:rsid w:val="003A69AA"/>
    <w:pPr>
      <w:shd w:val="clear" w:color="auto" w:fill="000080"/>
    </w:pPr>
  </w:style>
  <w:style w:type="paragraph" w:styleId="a4">
    <w:name w:val="header"/>
    <w:basedOn w:val="a"/>
    <w:rsid w:val="00724F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724F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Theme"/>
    <w:basedOn w:val="a1"/>
    <w:rsid w:val="00724F3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rsid w:val="00724F34"/>
  </w:style>
  <w:style w:type="character" w:customStyle="1" w:styleId="2Char">
    <w:name w:val="标题 2 Char"/>
    <w:basedOn w:val="a0"/>
    <w:link w:val="2"/>
    <w:semiHidden/>
    <w:rsid w:val="00FF3039"/>
    <w:rPr>
      <w:rFonts w:ascii="Cambria" w:eastAsia="宋体" w:hAnsi="Cambria" w:cs="Times New Roman"/>
      <w:b/>
      <w:bCs/>
      <w:kern w:val="2"/>
      <w:sz w:val="32"/>
      <w:szCs w:val="32"/>
    </w:rPr>
  </w:style>
  <w:style w:type="paragraph" w:styleId="z-">
    <w:name w:val="HTML Bottom of Form"/>
    <w:basedOn w:val="a"/>
    <w:next w:val="a"/>
    <w:link w:val="z-Char"/>
    <w:hidden/>
    <w:uiPriority w:val="99"/>
    <w:semiHidden/>
    <w:unhideWhenUsed/>
    <w:rsid w:val="00165DEE"/>
    <w:pPr>
      <w:widowControl/>
      <w:pBdr>
        <w:top w:val="single" w:sz="6" w:space="1" w:color="auto"/>
      </w:pBdr>
      <w:jc w:val="center"/>
    </w:pPr>
    <w:rPr>
      <w:rFonts w:ascii="Arial" w:hAnsi="Arial" w:cs="Arial"/>
      <w:b w:val="0"/>
      <w:vanish/>
      <w:kern w:val="0"/>
      <w:sz w:val="16"/>
      <w:szCs w:val="16"/>
    </w:rPr>
  </w:style>
  <w:style w:type="character" w:customStyle="1" w:styleId="z-Char">
    <w:name w:val="z-窗体底端 Char"/>
    <w:basedOn w:val="a0"/>
    <w:link w:val="z-"/>
    <w:uiPriority w:val="99"/>
    <w:semiHidden/>
    <w:rsid w:val="00165DEE"/>
    <w:rPr>
      <w:rFonts w:ascii="Arial" w:hAnsi="Arial" w:cs="Arial"/>
      <w:vanish/>
      <w:sz w:val="16"/>
      <w:szCs w:val="16"/>
    </w:rPr>
  </w:style>
  <w:style w:type="character" w:customStyle="1" w:styleId="3Char">
    <w:name w:val="标题 3 Char"/>
    <w:basedOn w:val="a0"/>
    <w:link w:val="3"/>
    <w:rsid w:val="00B26680"/>
    <w:rPr>
      <w:rFonts w:ascii="Calibri" w:hAnsi="Calibri"/>
      <w:b/>
      <w:bCs/>
      <w:kern w:val="2"/>
      <w:sz w:val="32"/>
      <w:szCs w:val="32"/>
    </w:rPr>
  </w:style>
  <w:style w:type="paragraph" w:styleId="a8">
    <w:name w:val="Balloon Text"/>
    <w:basedOn w:val="a"/>
    <w:link w:val="Char"/>
    <w:rsid w:val="000404E3"/>
    <w:rPr>
      <w:sz w:val="18"/>
      <w:szCs w:val="18"/>
    </w:rPr>
  </w:style>
  <w:style w:type="character" w:customStyle="1" w:styleId="Char">
    <w:name w:val="批注框文本 Char"/>
    <w:basedOn w:val="a0"/>
    <w:link w:val="a8"/>
    <w:rsid w:val="000404E3"/>
    <w:rPr>
      <w:rFonts w:ascii="Calibri" w:hAnsi="Calibri"/>
      <w:b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2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7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4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6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3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2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70818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573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887224">
                  <w:marLeft w:val="0"/>
                  <w:marRight w:val="0"/>
                  <w:marTop w:val="0"/>
                  <w:marBottom w:val="150"/>
                  <w:divBdr>
                    <w:top w:val="single" w:sz="6" w:space="0" w:color="D3DBE6"/>
                    <w:left w:val="single" w:sz="6" w:space="0" w:color="D3DBE6"/>
                    <w:bottom w:val="single" w:sz="6" w:space="0" w:color="D3DBE6"/>
                    <w:right w:val="single" w:sz="6" w:space="0" w:color="D3DBE6"/>
                  </w:divBdr>
                  <w:divsChild>
                    <w:div w:id="54063505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325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527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Book1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m\Desktop\17&#23626;&#27605;&#19994;&#29983;&#23601;&#19994;&#25968;&#25454;&#32479;&#35745;.xlsx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m\Desktop\17&#23626;&#27605;&#19994;&#29983;&#23601;&#19994;&#25968;&#25454;&#32479;&#35745;.xlsx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km\Desktop\&#23601;&#19994;&#25968;&#25454;&#32479;&#35745;\8.31\17&#23626;&#27605;&#19994;&#29983;&#23601;&#19994;&#25968;&#25454;&#32479;&#35745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title>
      <c:tx>
        <c:rich>
          <a:bodyPr/>
          <a:lstStyle/>
          <a:p>
            <a:pPr>
              <a:defRPr/>
            </a:pPr>
            <a:r>
              <a:rPr lang="en-US" altLang="zh-CN" sz="1400"/>
              <a:t>2017</a:t>
            </a:r>
            <a:r>
              <a:rPr lang="zh-CN" altLang="en-US" sz="1400"/>
              <a:t>届毕业生生源区域分布图</a:t>
            </a:r>
          </a:p>
        </c:rich>
      </c:tx>
    </c:title>
    <c:plotArea>
      <c:layout/>
      <c:barChart>
        <c:barDir val="col"/>
        <c:grouping val="stacked"/>
        <c:ser>
          <c:idx val="0"/>
          <c:order val="0"/>
          <c:tx>
            <c:strRef>
              <c:f>Sheet1!$G$5</c:f>
              <c:strCache>
                <c:ptCount val="1"/>
                <c:pt idx="0">
                  <c:v>人数</c:v>
                </c:pt>
              </c:strCache>
            </c:strRef>
          </c:tx>
          <c:dLbls>
            <c:dLbl>
              <c:idx val="0"/>
              <c:layout>
                <c:manualLayout>
                  <c:x val="0"/>
                  <c:y val="-0.125"/>
                </c:manualLayout>
              </c:layout>
              <c:showVal val="1"/>
            </c:dLbl>
            <c:dLbl>
              <c:idx val="1"/>
              <c:layout>
                <c:manualLayout>
                  <c:x val="0"/>
                  <c:y val="-0.27777777777777857"/>
                </c:manualLayout>
              </c:layout>
              <c:showVal val="1"/>
            </c:dLbl>
            <c:dLbl>
              <c:idx val="2"/>
              <c:layout>
                <c:manualLayout>
                  <c:x val="8.3333333333333367E-3"/>
                  <c:y val="-0.1481481481481485"/>
                </c:manualLayout>
              </c:layout>
              <c:showVal val="1"/>
            </c:dLbl>
            <c:dLbl>
              <c:idx val="3"/>
              <c:layout>
                <c:manualLayout>
                  <c:x val="0"/>
                  <c:y val="-0.11111111111111102"/>
                </c:manualLayout>
              </c:layout>
              <c:showVal val="1"/>
            </c:dLbl>
            <c:dLbl>
              <c:idx val="4"/>
              <c:layout>
                <c:manualLayout>
                  <c:x val="0"/>
                  <c:y val="-7.8703703703703734E-2"/>
                </c:manualLayout>
              </c:layout>
              <c:showVal val="1"/>
            </c:dLbl>
            <c:dLbl>
              <c:idx val="5"/>
              <c:layout>
                <c:manualLayout>
                  <c:x val="5.0925337632080489E-17"/>
                  <c:y val="-0.125"/>
                </c:manualLayout>
              </c:layout>
              <c:showVal val="1"/>
            </c:dLbl>
            <c:dLbl>
              <c:idx val="6"/>
              <c:layout>
                <c:manualLayout>
                  <c:x val="0"/>
                  <c:y val="-5.5555555555555455E-2"/>
                </c:manualLayout>
              </c:layout>
              <c:showVal val="1"/>
            </c:dLbl>
            <c:dLbl>
              <c:idx val="7"/>
              <c:layout>
                <c:manualLayout>
                  <c:x val="2.7777777777777939E-3"/>
                  <c:y val="-6.9444444444444531E-2"/>
                </c:manualLayout>
              </c:layout>
              <c:showVal val="1"/>
            </c:dLbl>
            <c:dLbl>
              <c:idx val="8"/>
              <c:layout>
                <c:manualLayout>
                  <c:x val="0"/>
                  <c:y val="-4.6296296296296426E-2"/>
                </c:manualLayout>
              </c:layout>
              <c:showVal val="1"/>
            </c:dLbl>
            <c:dLbl>
              <c:idx val="9"/>
              <c:layout>
                <c:manualLayout>
                  <c:x val="0"/>
                  <c:y val="-8.7962962962963229E-2"/>
                </c:manualLayout>
              </c:layout>
              <c:showVal val="1"/>
            </c:dLbl>
            <c:dLbl>
              <c:idx val="10"/>
              <c:layout>
                <c:manualLayout>
                  <c:x val="2.7777777777777939E-3"/>
                  <c:y val="-6.9444444444444434E-2"/>
                </c:manualLayout>
              </c:layout>
              <c:showVal val="1"/>
            </c:dLbl>
            <c:dLbl>
              <c:idx val="11"/>
              <c:layout>
                <c:manualLayout>
                  <c:x val="-5.5555555555556555E-3"/>
                  <c:y val="-9.2592592592593101E-2"/>
                </c:manualLayout>
              </c:layout>
              <c:showVal val="1"/>
            </c:dLbl>
            <c:delete val="1"/>
          </c:dLbls>
          <c:cat>
            <c:strRef>
              <c:f>Sheet1!$F$6:$F$17</c:f>
              <c:strCache>
                <c:ptCount val="12"/>
                <c:pt idx="0">
                  <c:v>杭州市</c:v>
                </c:pt>
                <c:pt idx="1">
                  <c:v>宁波市</c:v>
                </c:pt>
                <c:pt idx="2">
                  <c:v>温州市</c:v>
                </c:pt>
                <c:pt idx="3">
                  <c:v>嘉兴市</c:v>
                </c:pt>
                <c:pt idx="4">
                  <c:v>湖州市</c:v>
                </c:pt>
                <c:pt idx="5">
                  <c:v>绍兴市</c:v>
                </c:pt>
                <c:pt idx="6">
                  <c:v>金华市</c:v>
                </c:pt>
                <c:pt idx="7">
                  <c:v>衢州市</c:v>
                </c:pt>
                <c:pt idx="8">
                  <c:v>舟山市</c:v>
                </c:pt>
                <c:pt idx="9">
                  <c:v>台州市</c:v>
                </c:pt>
                <c:pt idx="10">
                  <c:v>丽水市</c:v>
                </c:pt>
                <c:pt idx="11">
                  <c:v>省外</c:v>
                </c:pt>
              </c:strCache>
            </c:strRef>
          </c:cat>
          <c:val>
            <c:numRef>
              <c:f>Sheet1!$G$6:$G$17</c:f>
              <c:numCache>
                <c:formatCode>General</c:formatCode>
                <c:ptCount val="12"/>
                <c:pt idx="0">
                  <c:v>314</c:v>
                </c:pt>
                <c:pt idx="1">
                  <c:v>968</c:v>
                </c:pt>
                <c:pt idx="2">
                  <c:v>411</c:v>
                </c:pt>
                <c:pt idx="3">
                  <c:v>271</c:v>
                </c:pt>
                <c:pt idx="4">
                  <c:v>128</c:v>
                </c:pt>
                <c:pt idx="5">
                  <c:v>296</c:v>
                </c:pt>
                <c:pt idx="6">
                  <c:v>123</c:v>
                </c:pt>
                <c:pt idx="7">
                  <c:v>82</c:v>
                </c:pt>
                <c:pt idx="8">
                  <c:v>38</c:v>
                </c:pt>
                <c:pt idx="9">
                  <c:v>238</c:v>
                </c:pt>
                <c:pt idx="10">
                  <c:v>94</c:v>
                </c:pt>
                <c:pt idx="11">
                  <c:v>185</c:v>
                </c:pt>
              </c:numCache>
            </c:numRef>
          </c:val>
        </c:ser>
        <c:overlap val="100"/>
        <c:axId val="194530688"/>
        <c:axId val="195462272"/>
      </c:barChart>
      <c:catAx>
        <c:axId val="194530688"/>
        <c:scaling>
          <c:orientation val="minMax"/>
        </c:scaling>
        <c:axPos val="b"/>
        <c:tickLblPos val="nextTo"/>
        <c:crossAx val="195462272"/>
        <c:crosses val="autoZero"/>
        <c:auto val="1"/>
        <c:lblAlgn val="ctr"/>
        <c:lblOffset val="100"/>
      </c:catAx>
      <c:valAx>
        <c:axId val="195462272"/>
        <c:scaling>
          <c:orientation val="minMax"/>
        </c:scaling>
        <c:axPos val="l"/>
        <c:majorGridlines/>
        <c:numFmt formatCode="General" sourceLinked="1"/>
        <c:tickLblPos val="nextTo"/>
        <c:crossAx val="1945306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pieChart>
        <c:varyColors val="1"/>
        <c:ser>
          <c:idx val="0"/>
          <c:order val="0"/>
          <c:explosion val="25"/>
          <c:dLbls>
            <c:dLbl>
              <c:idx val="0"/>
              <c:tx>
                <c:rich>
                  <a:bodyPr/>
                  <a:lstStyle/>
                  <a:p>
                    <a:r>
                      <a:rPr lang="zh-CN" altLang="en-US"/>
                      <a:t>机关</a:t>
                    </a:r>
                    <a:r>
                      <a:rPr lang="en-US" altLang="zh-CN"/>
                      <a:t>, 0.14%</a:t>
                    </a:r>
                  </a:p>
                </c:rich>
              </c:tx>
              <c:showVal val="1"/>
              <c:showSerName val="1"/>
            </c:dLbl>
            <c:dLbl>
              <c:idx val="1"/>
              <c:tx>
                <c:rich>
                  <a:bodyPr/>
                  <a:lstStyle/>
                  <a:p>
                    <a:r>
                      <a:rPr lang="zh-CN" altLang="en-US"/>
                      <a:t>中初教育单位</a:t>
                    </a:r>
                    <a:r>
                      <a:rPr lang="en-US" altLang="zh-CN"/>
                      <a:t>, 0.21%</a:t>
                    </a:r>
                  </a:p>
                </c:rich>
              </c:tx>
              <c:showVal val="1"/>
              <c:showSerName val="1"/>
            </c:dLbl>
            <c:dLbl>
              <c:idx val="2"/>
              <c:tx>
                <c:rich>
                  <a:bodyPr/>
                  <a:lstStyle/>
                  <a:p>
                    <a:r>
                      <a:rPr lang="zh-CN" altLang="en-US"/>
                      <a:t>其他事业单位</a:t>
                    </a:r>
                    <a:r>
                      <a:rPr lang="en-US" altLang="zh-CN"/>
                      <a:t>, 0.56%</a:t>
                    </a:r>
                  </a:p>
                </c:rich>
              </c:tx>
              <c:showVal val="1"/>
              <c:showSerName val="1"/>
            </c:dLbl>
            <c:dLbl>
              <c:idx val="3"/>
              <c:tx>
                <c:rich>
                  <a:bodyPr/>
                  <a:lstStyle/>
                  <a:p>
                    <a:r>
                      <a:rPr lang="zh-CN" altLang="en-US"/>
                      <a:t>国有企业</a:t>
                    </a:r>
                    <a:r>
                      <a:rPr lang="en-US" altLang="zh-CN"/>
                      <a:t>, 2.29%</a:t>
                    </a:r>
                  </a:p>
                </c:rich>
              </c:tx>
              <c:showVal val="1"/>
              <c:showSerName val="1"/>
            </c:dLbl>
            <c:dLbl>
              <c:idx val="4"/>
              <c:tx>
                <c:rich>
                  <a:bodyPr/>
                  <a:lstStyle/>
                  <a:p>
                    <a:r>
                      <a:rPr lang="zh-CN" altLang="en-US"/>
                      <a:t>三资企业</a:t>
                    </a:r>
                    <a:r>
                      <a:rPr lang="en-US" altLang="zh-CN"/>
                      <a:t>, 2.47%</a:t>
                    </a:r>
                  </a:p>
                </c:rich>
              </c:tx>
              <c:showVal val="1"/>
              <c:showSerName val="1"/>
            </c:dLbl>
            <c:dLbl>
              <c:idx val="5"/>
              <c:tx>
                <c:rich>
                  <a:bodyPr/>
                  <a:lstStyle/>
                  <a:p>
                    <a:r>
                      <a:rPr lang="zh-CN" altLang="en-US"/>
                      <a:t>城镇社区</a:t>
                    </a:r>
                    <a:r>
                      <a:rPr lang="en-US" altLang="zh-CN"/>
                      <a:t>, 0.04%</a:t>
                    </a:r>
                  </a:p>
                </c:rich>
              </c:tx>
              <c:showVal val="1"/>
              <c:showSerName val="1"/>
            </c:dLbl>
            <c:dLbl>
              <c:idx val="6"/>
              <c:tx>
                <c:rich>
                  <a:bodyPr/>
                  <a:lstStyle/>
                  <a:p>
                    <a:r>
                      <a:rPr lang="zh-CN" altLang="en-US"/>
                      <a:t>其他</a:t>
                    </a:r>
                    <a:r>
                      <a:rPr lang="en-US" altLang="zh-CN"/>
                      <a:t>,2.40%</a:t>
                    </a:r>
                  </a:p>
                </c:rich>
              </c:tx>
              <c:showVal val="1"/>
              <c:showSerName val="1"/>
            </c:dLbl>
            <c:showVal val="1"/>
            <c:showSerName val="1"/>
            <c:showLeaderLines val="1"/>
          </c:dLbls>
          <c:val>
            <c:numRef>
              <c:f>Sheet1!$B$182:$B$188</c:f>
              <c:numCache>
                <c:formatCode>0.00%</c:formatCode>
                <c:ptCount val="7"/>
                <c:pt idx="0">
                  <c:v>1.4000000000000019E-3</c:v>
                </c:pt>
                <c:pt idx="1">
                  <c:v>2.0999999999999999E-3</c:v>
                </c:pt>
                <c:pt idx="2">
                  <c:v>5.6000000000000034E-3</c:v>
                </c:pt>
                <c:pt idx="3">
                  <c:v>2.2900000000000011E-2</c:v>
                </c:pt>
                <c:pt idx="4">
                  <c:v>2.47E-2</c:v>
                </c:pt>
                <c:pt idx="5">
                  <c:v>4.0000000000000034E-4</c:v>
                </c:pt>
                <c:pt idx="6">
                  <c:v>2.4E-2</c:v>
                </c:pt>
              </c:numCache>
            </c:numRef>
          </c:val>
        </c:ser>
        <c:firstSliceAng val="0"/>
      </c:pie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bar"/>
        <c:grouping val="stacked"/>
        <c:ser>
          <c:idx val="0"/>
          <c:order val="0"/>
          <c:dLbls>
            <c:dLbl>
              <c:idx val="0"/>
              <c:layout>
                <c:manualLayout>
                  <c:x val="0.2"/>
                  <c:y val="0"/>
                </c:manualLayout>
              </c:layout>
              <c:dLblPos val="inBase"/>
              <c:showVal val="1"/>
            </c:dLbl>
            <c:dLbl>
              <c:idx val="1"/>
              <c:layout>
                <c:manualLayout>
                  <c:x val="0.7527777777777791"/>
                  <c:y val="0"/>
                </c:manualLayout>
              </c:layout>
              <c:dLblPos val="inBase"/>
              <c:showVal val="1"/>
            </c:dLbl>
            <c:dLbl>
              <c:idx val="2"/>
              <c:layout>
                <c:manualLayout>
                  <c:x val="0.11666666666666672"/>
                  <c:y val="0"/>
                </c:manualLayout>
              </c:layout>
              <c:dLblPos val="inBase"/>
              <c:showVal val="1"/>
            </c:dLbl>
            <c:dLbl>
              <c:idx val="3"/>
              <c:layout>
                <c:manualLayout>
                  <c:x val="0.10833333333333336"/>
                  <c:y val="0"/>
                </c:manualLayout>
              </c:layout>
              <c:dLblPos val="inBase"/>
              <c:showVal val="1"/>
            </c:dLbl>
            <c:dLbl>
              <c:idx val="4"/>
              <c:layout>
                <c:manualLayout>
                  <c:x val="3.888888888888889E-2"/>
                  <c:y val="0"/>
                </c:manualLayout>
              </c:layout>
              <c:dLblPos val="inBase"/>
              <c:showVal val="1"/>
            </c:dLbl>
            <c:dLbl>
              <c:idx val="5"/>
              <c:layout>
                <c:manualLayout>
                  <c:x val="9.1666666666667021E-2"/>
                  <c:y val="0"/>
                </c:manualLayout>
              </c:layout>
              <c:dLblPos val="inBase"/>
              <c:showVal val="1"/>
            </c:dLbl>
            <c:dLbl>
              <c:idx val="6"/>
              <c:layout>
                <c:manualLayout>
                  <c:x val="4.1666666666666664E-2"/>
                  <c:y val="-4.6296296296296441E-3"/>
                </c:manualLayout>
              </c:layout>
              <c:dLblPos val="inBase"/>
              <c:showVal val="1"/>
            </c:dLbl>
            <c:dLbl>
              <c:idx val="9"/>
              <c:layout>
                <c:manualLayout>
                  <c:x val="0.05"/>
                  <c:y val="0"/>
                </c:manualLayout>
              </c:layout>
              <c:dLblPos val="inBase"/>
              <c:showVal val="1"/>
            </c:dLbl>
            <c:dLbl>
              <c:idx val="10"/>
              <c:layout>
                <c:manualLayout>
                  <c:x val="1.6666666666666701E-2"/>
                  <c:y val="4.6296296296296441E-3"/>
                </c:manualLayout>
              </c:layout>
              <c:dLblPos val="inBase"/>
              <c:showVal val="1"/>
            </c:dLbl>
            <c:dLbl>
              <c:idx val="11"/>
              <c:layout>
                <c:manualLayout>
                  <c:x val="4.7222222222222332E-2"/>
                  <c:y val="0"/>
                </c:manualLayout>
              </c:layout>
              <c:dLblPos val="inBase"/>
              <c:showVal val="1"/>
            </c:dLbl>
            <c:dLblPos val="inBase"/>
            <c:showVal val="1"/>
          </c:dLbls>
          <c:cat>
            <c:strRef>
              <c:f>Sheet1!$A$197:$A$208</c:f>
              <c:strCache>
                <c:ptCount val="12"/>
                <c:pt idx="0">
                  <c:v>杭州市</c:v>
                </c:pt>
                <c:pt idx="1">
                  <c:v>宁波市</c:v>
                </c:pt>
                <c:pt idx="2">
                  <c:v>温州市</c:v>
                </c:pt>
                <c:pt idx="3">
                  <c:v>嘉兴市</c:v>
                </c:pt>
                <c:pt idx="4">
                  <c:v>湖州市</c:v>
                </c:pt>
                <c:pt idx="5">
                  <c:v>绍兴市</c:v>
                </c:pt>
                <c:pt idx="6">
                  <c:v>金华市</c:v>
                </c:pt>
                <c:pt idx="7">
                  <c:v>衢州市</c:v>
                </c:pt>
                <c:pt idx="8">
                  <c:v>舟山市</c:v>
                </c:pt>
                <c:pt idx="9">
                  <c:v>台州市</c:v>
                </c:pt>
                <c:pt idx="10">
                  <c:v>丽水市</c:v>
                </c:pt>
                <c:pt idx="11">
                  <c:v>外省</c:v>
                </c:pt>
              </c:strCache>
            </c:strRef>
          </c:cat>
          <c:val>
            <c:numRef>
              <c:f>Sheet1!$B$197:$B$208</c:f>
              <c:numCache>
                <c:formatCode>General</c:formatCode>
                <c:ptCount val="12"/>
                <c:pt idx="0">
                  <c:v>388</c:v>
                </c:pt>
                <c:pt idx="1">
                  <c:v>1514</c:v>
                </c:pt>
                <c:pt idx="2">
                  <c:v>251</c:v>
                </c:pt>
                <c:pt idx="3">
                  <c:v>228</c:v>
                </c:pt>
                <c:pt idx="4">
                  <c:v>90</c:v>
                </c:pt>
                <c:pt idx="5">
                  <c:v>190</c:v>
                </c:pt>
                <c:pt idx="6">
                  <c:v>71</c:v>
                </c:pt>
                <c:pt idx="7">
                  <c:v>25</c:v>
                </c:pt>
                <c:pt idx="8">
                  <c:v>22</c:v>
                </c:pt>
                <c:pt idx="9">
                  <c:v>118</c:v>
                </c:pt>
                <c:pt idx="10">
                  <c:v>43</c:v>
                </c:pt>
                <c:pt idx="11">
                  <c:v>68</c:v>
                </c:pt>
              </c:numCache>
            </c:numRef>
          </c:val>
        </c:ser>
        <c:overlap val="100"/>
        <c:axId val="194553344"/>
        <c:axId val="194554880"/>
      </c:barChart>
      <c:catAx>
        <c:axId val="194553344"/>
        <c:scaling>
          <c:orientation val="minMax"/>
        </c:scaling>
        <c:axPos val="l"/>
        <c:tickLblPos val="nextTo"/>
        <c:crossAx val="194554880"/>
        <c:crosses val="autoZero"/>
        <c:auto val="1"/>
        <c:lblAlgn val="ctr"/>
        <c:lblOffset val="100"/>
      </c:catAx>
      <c:valAx>
        <c:axId val="194554880"/>
        <c:scaling>
          <c:orientation val="minMax"/>
          <c:max val="1600"/>
        </c:scaling>
        <c:axPos val="b"/>
        <c:majorGridlines/>
        <c:numFmt formatCode="General" sourceLinked="1"/>
        <c:tickLblPos val="nextTo"/>
        <c:crossAx val="194553344"/>
        <c:crosses val="autoZero"/>
        <c:crossBetween val="between"/>
      </c:valAx>
    </c:plotArea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zh-CN"/>
  <c:chart>
    <c:plotArea>
      <c:layout/>
      <c:barChart>
        <c:barDir val="bar"/>
        <c:grouping val="stacked"/>
        <c:ser>
          <c:idx val="0"/>
          <c:order val="0"/>
          <c:dLbls>
            <c:dLbl>
              <c:idx val="0"/>
              <c:layout>
                <c:manualLayout>
                  <c:x val="5.3937432578209238E-2"/>
                  <c:y val="0"/>
                </c:manualLayout>
              </c:layout>
              <c:showVal val="1"/>
            </c:dLbl>
            <c:dLbl>
              <c:idx val="1"/>
              <c:layout>
                <c:manualLayout>
                  <c:x val="4.9622437971952593E-2"/>
                  <c:y val="0"/>
                </c:manualLayout>
              </c:layout>
              <c:showVal val="1"/>
            </c:dLbl>
            <c:dLbl>
              <c:idx val="2"/>
              <c:layout>
                <c:manualLayout>
                  <c:x val="7.1197411003236538E-2"/>
                  <c:y val="-4.9200492004920189E-3"/>
                </c:manualLayout>
              </c:layout>
              <c:showVal val="1"/>
            </c:dLbl>
            <c:dLbl>
              <c:idx val="3"/>
              <c:layout>
                <c:manualLayout>
                  <c:x val="4.3149946062567252E-2"/>
                  <c:y val="4.9200492004920189E-3"/>
                </c:manualLayout>
              </c:layout>
              <c:showVal val="1"/>
            </c:dLbl>
            <c:dLbl>
              <c:idx val="4"/>
              <c:layout>
                <c:manualLayout>
                  <c:x val="4.3149946062567203E-2"/>
                  <c:y val="0"/>
                </c:manualLayout>
              </c:layout>
              <c:showVal val="1"/>
            </c:dLbl>
            <c:dLbl>
              <c:idx val="5"/>
              <c:layout>
                <c:manualLayout>
                  <c:x val="5.1779935275080895E-2"/>
                  <c:y val="4.9200492004920189E-3"/>
                </c:manualLayout>
              </c:layout>
              <c:showVal val="1"/>
            </c:dLbl>
            <c:dLbl>
              <c:idx val="6"/>
              <c:layout>
                <c:manualLayout>
                  <c:x val="4.7464940668824125E-2"/>
                  <c:y val="0"/>
                </c:manualLayout>
              </c:layout>
              <c:showVal val="1"/>
            </c:dLbl>
            <c:dLbl>
              <c:idx val="7"/>
              <c:layout>
                <c:manualLayout>
                  <c:x val="5.1779765393403475E-2"/>
                  <c:y val="-4.9200492004919764E-3"/>
                </c:manualLayout>
              </c:layout>
              <c:showVal val="1"/>
            </c:dLbl>
            <c:dLbl>
              <c:idx val="8"/>
              <c:layout>
                <c:manualLayout>
                  <c:x val="0.18338727076591171"/>
                  <c:y val="0"/>
                </c:manualLayout>
              </c:layout>
              <c:showVal val="1"/>
            </c:dLbl>
            <c:dLbl>
              <c:idx val="9"/>
              <c:layout>
                <c:manualLayout>
                  <c:x val="0.14886731391585761"/>
                  <c:y val="0"/>
                </c:manualLayout>
              </c:layout>
              <c:showVal val="1"/>
            </c:dLbl>
            <c:dLbl>
              <c:idx val="10"/>
              <c:layout>
                <c:manualLayout>
                  <c:x val="0.13592233009708782"/>
                  <c:y val="-2.2549965003135335E-17"/>
                </c:manualLayout>
              </c:layout>
              <c:showVal val="1"/>
            </c:dLbl>
            <c:dLbl>
              <c:idx val="11"/>
              <c:layout>
                <c:manualLayout>
                  <c:x val="0.12944983818770298"/>
                  <c:y val="0"/>
                </c:manualLayout>
              </c:layout>
              <c:showVal val="1"/>
            </c:dLbl>
            <c:dLbl>
              <c:idx val="12"/>
              <c:layout>
                <c:manualLayout>
                  <c:x val="0.34519956850053929"/>
                  <c:y val="2.9055408664322948E-4"/>
                </c:manualLayout>
              </c:layout>
              <c:showVal val="1"/>
            </c:dLbl>
            <c:dLbl>
              <c:idx val="13"/>
              <c:layout>
                <c:manualLayout>
                  <c:x val="0.34088457389428461"/>
                  <c:y val="0"/>
                </c:manualLayout>
              </c:layout>
              <c:showVal val="1"/>
            </c:dLbl>
            <c:showVal val="1"/>
          </c:dLbls>
          <c:cat>
            <c:strRef>
              <c:f>Sheet1!$A$252:$A$264</c:f>
              <c:strCache>
                <c:ptCount val="13"/>
                <c:pt idx="0">
                  <c:v>11科学研究人员</c:v>
                </c:pt>
                <c:pt idx="1">
                  <c:v>13工程技术人员</c:v>
                </c:pt>
                <c:pt idx="2">
                  <c:v>21经济业务人员</c:v>
                </c:pt>
                <c:pt idx="3">
                  <c:v>22金融业务人员</c:v>
                </c:pt>
                <c:pt idx="4">
                  <c:v>23法律专业人员</c:v>
                </c:pt>
                <c:pt idx="5">
                  <c:v>24教学人员</c:v>
                </c:pt>
                <c:pt idx="6">
                  <c:v>25文学艺术工作人员</c:v>
                </c:pt>
                <c:pt idx="7">
                  <c:v>27新闻出版和文化工作人员</c:v>
                </c:pt>
                <c:pt idx="8">
                  <c:v>29其他专业技术人员</c:v>
                </c:pt>
                <c:pt idx="9">
                  <c:v>30办事人员和有关人员</c:v>
                </c:pt>
                <c:pt idx="10">
                  <c:v>40商业和服务业人员</c:v>
                </c:pt>
                <c:pt idx="11">
                  <c:v>60生产和运输设备操作人员</c:v>
                </c:pt>
                <c:pt idx="12">
                  <c:v>90其他人员</c:v>
                </c:pt>
              </c:strCache>
            </c:strRef>
          </c:cat>
          <c:val>
            <c:numRef>
              <c:f>Sheet1!$B$252:$B$264</c:f>
              <c:numCache>
                <c:formatCode>0.00%</c:formatCode>
                <c:ptCount val="13"/>
                <c:pt idx="0">
                  <c:v>4.0000000000000034E-4</c:v>
                </c:pt>
                <c:pt idx="1">
                  <c:v>6.3000000000000079E-3</c:v>
                </c:pt>
                <c:pt idx="2">
                  <c:v>4.3700000000000003E-2</c:v>
                </c:pt>
                <c:pt idx="3">
                  <c:v>7.0000000000000088E-3</c:v>
                </c:pt>
                <c:pt idx="4">
                  <c:v>4.0000000000000034E-4</c:v>
                </c:pt>
                <c:pt idx="5">
                  <c:v>2.6100000000000002E-2</c:v>
                </c:pt>
                <c:pt idx="6">
                  <c:v>2.5000000000000044E-3</c:v>
                </c:pt>
                <c:pt idx="7">
                  <c:v>7.0000000000000129E-4</c:v>
                </c:pt>
                <c:pt idx="8">
                  <c:v>0.17540000000000028</c:v>
                </c:pt>
                <c:pt idx="9">
                  <c:v>0.12820000000000001</c:v>
                </c:pt>
                <c:pt idx="10">
                  <c:v>0.12330000000000002</c:v>
                </c:pt>
                <c:pt idx="11">
                  <c:v>0.10570000000000013</c:v>
                </c:pt>
                <c:pt idx="12">
                  <c:v>0.38010000000000038</c:v>
                </c:pt>
              </c:numCache>
            </c:numRef>
          </c:val>
        </c:ser>
        <c:overlap val="100"/>
        <c:axId val="194611456"/>
        <c:axId val="194953216"/>
      </c:barChart>
      <c:catAx>
        <c:axId val="194611456"/>
        <c:scaling>
          <c:orientation val="minMax"/>
        </c:scaling>
        <c:axPos val="l"/>
        <c:tickLblPos val="nextTo"/>
        <c:crossAx val="194953216"/>
        <c:crosses val="autoZero"/>
        <c:auto val="1"/>
        <c:lblAlgn val="ctr"/>
        <c:lblOffset val="100"/>
      </c:catAx>
      <c:valAx>
        <c:axId val="194953216"/>
        <c:scaling>
          <c:orientation val="minMax"/>
        </c:scaling>
        <c:axPos val="b"/>
        <c:majorGridlines/>
        <c:numFmt formatCode="0.00%" sourceLinked="1"/>
        <c:tickLblPos val="nextTo"/>
        <c:crossAx val="194611456"/>
        <c:crosses val="autoZero"/>
        <c:crossBetween val="between"/>
      </c:valAx>
    </c:plotArea>
    <c:plotVisOnly val="1"/>
  </c:chart>
  <c:externalData r:id="rId1"/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6BE659-154D-4271-A0A3-3FA24490B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911</Words>
  <Characters>5195</Characters>
  <Application>Microsoft Office Word</Application>
  <DocSecurity>0</DocSecurity>
  <PresentationFormat/>
  <Lines>43</Lines>
  <Paragraphs>12</Paragraphs>
  <Slides>0</Slides>
  <Notes>0</Notes>
  <HiddenSlides>0</HiddenSlides>
  <MMClips>0</MMClips>
  <ScaleCrop>false</ScaleCrop>
  <Manager/>
  <Company>China</Company>
  <LinksUpToDate>false</LinksUpToDate>
  <CharactersWithSpaces>6094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2014届毕业生初次就业数据</dc:title>
  <dc:subject/>
  <dc:creator>User</dc:creator>
  <cp:keywords/>
  <dc:description/>
  <cp:lastModifiedBy>km</cp:lastModifiedBy>
  <cp:revision>6</cp:revision>
  <dcterms:created xsi:type="dcterms:W3CDTF">2017-09-15T00:51:00Z</dcterms:created>
  <dcterms:modified xsi:type="dcterms:W3CDTF">2017-11-22T01:47:00Z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